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FD5AE" w14:textId="77777777" w:rsidR="00D71A5F" w:rsidRPr="00DB57BB" w:rsidRDefault="00D71A5F">
      <w:pPr>
        <w:pStyle w:val="BodyText"/>
        <w:spacing w:before="263"/>
        <w:rPr>
          <w:rFonts w:ascii="Times New Roman"/>
          <w:sz w:val="12"/>
          <w:szCs w:val="12"/>
        </w:rPr>
      </w:pPr>
    </w:p>
    <w:p w14:paraId="4D8598EA" w14:textId="26CC5F2C" w:rsidR="00ED68E4" w:rsidRDefault="002C1FC9" w:rsidP="00ED68E4">
      <w:pPr>
        <w:pStyle w:val="Heading1"/>
        <w:ind w:left="270"/>
        <w:jc w:val="left"/>
      </w:pPr>
      <w:r>
        <w:rPr>
          <w:noProof/>
        </w:rPr>
        <mc:AlternateContent>
          <mc:Choice Requires="wps">
            <w:drawing>
              <wp:anchor distT="0" distB="0" distL="114300" distR="114300" simplePos="0" relativeHeight="251659264" behindDoc="0" locked="0" layoutInCell="1" allowOverlap="1" wp14:anchorId="096BE05F" wp14:editId="092CB71E">
                <wp:simplePos x="0" y="0"/>
                <wp:positionH relativeFrom="column">
                  <wp:posOffset>3063240</wp:posOffset>
                </wp:positionH>
                <wp:positionV relativeFrom="paragraph">
                  <wp:posOffset>205105</wp:posOffset>
                </wp:positionV>
                <wp:extent cx="4084320" cy="365760"/>
                <wp:effectExtent l="0" t="0" r="0" b="0"/>
                <wp:wrapNone/>
                <wp:docPr id="32332694" name="Text Box 4"/>
                <wp:cNvGraphicFramePr/>
                <a:graphic xmlns:a="http://schemas.openxmlformats.org/drawingml/2006/main">
                  <a:graphicData uri="http://schemas.microsoft.com/office/word/2010/wordprocessingShape">
                    <wps:wsp>
                      <wps:cNvSpPr txBox="1"/>
                      <wps:spPr>
                        <a:xfrm>
                          <a:off x="0" y="0"/>
                          <a:ext cx="4084320" cy="365760"/>
                        </a:xfrm>
                        <a:prstGeom prst="rect">
                          <a:avLst/>
                        </a:prstGeom>
                        <a:solidFill>
                          <a:schemeClr val="lt1"/>
                        </a:solidFill>
                        <a:ln w="6350">
                          <a:noFill/>
                        </a:ln>
                      </wps:spPr>
                      <wps:txbx>
                        <w:txbxContent>
                          <w:p w14:paraId="1EADA165" w14:textId="15562D36" w:rsidR="002C1FC9" w:rsidRDefault="002C1FC9">
                            <w:r w:rsidRPr="00732742">
                              <w:rPr>
                                <w:b/>
                                <w:bCs/>
                                <w:sz w:val="32"/>
                                <w:szCs w:val="32"/>
                              </w:rPr>
                              <w:t>Professional Development Stipend</w:t>
                            </w:r>
                            <w:r>
                              <w:rPr>
                                <w:b/>
                                <w:bCs/>
                                <w:sz w:val="32"/>
                                <w:szCs w:val="32"/>
                              </w:rPr>
                              <w:t xml:space="preserve"> Guidelines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6BE05F" id="_x0000_t202" coordsize="21600,21600" o:spt="202" path="m,l,21600r21600,l21600,xe">
                <v:stroke joinstyle="miter"/>
                <v:path gradientshapeok="t" o:connecttype="rect"/>
              </v:shapetype>
              <v:shape id="Text Box 4" o:spid="_x0000_s1026" type="#_x0000_t202" style="position:absolute;left:0;text-align:left;margin-left:241.2pt;margin-top:16.15pt;width:321.6pt;height:28.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" fillcolor="white [3201]" stroked="f" strokeweight=".5pt">
                <v:textbox>
                  <w:txbxContent>
                    <w:p w14:paraId="1EADA165" w14:textId="15562D36" w:rsidR="002C1FC9" w:rsidRDefault="002C1FC9">
                      <w:r w:rsidRPr="00732742">
                        <w:rPr>
                          <w:b/>
                          <w:bCs/>
                          <w:sz w:val="32"/>
                          <w:szCs w:val="32"/>
                        </w:rPr>
                        <w:t>Professional Development Stipend</w:t>
                      </w:r>
                      <w:r>
                        <w:rPr>
                          <w:b/>
                          <w:bCs/>
                          <w:sz w:val="32"/>
                          <w:szCs w:val="32"/>
                        </w:rPr>
                        <w:t xml:space="preserve"> Guidelines</w:t>
                      </w:r>
                    </w:p>
                  </w:txbxContent>
                </v:textbox>
              </v:shape>
            </w:pict>
          </mc:Fallback>
        </mc:AlternateContent>
      </w:r>
      <w:r w:rsidR="00ED68E4">
        <w:rPr>
          <w:noProof/>
        </w:rPr>
        <w:drawing>
          <wp:inline distT="0" distB="0" distL="0" distR="0" wp14:anchorId="5F241961" wp14:editId="4F63584E">
            <wp:extent cx="2572495" cy="777240"/>
            <wp:effectExtent l="0" t="0" r="0" b="3810"/>
            <wp:docPr id="11049069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2495" cy="777240"/>
                    </a:xfrm>
                    <a:prstGeom prst="rect">
                      <a:avLst/>
                    </a:prstGeom>
                    <a:noFill/>
                    <a:ln>
                      <a:noFill/>
                    </a:ln>
                  </pic:spPr>
                </pic:pic>
              </a:graphicData>
            </a:graphic>
          </wp:inline>
        </w:drawing>
      </w:r>
    </w:p>
    <w:p w14:paraId="171E167B" w14:textId="77777777" w:rsidR="002C1FC9" w:rsidRDefault="002C1FC9" w:rsidP="000670BF">
      <w:pPr>
        <w:pStyle w:val="Heading3"/>
        <w:ind w:left="288" w:right="288"/>
      </w:pPr>
    </w:p>
    <w:p w14:paraId="6F838C69" w14:textId="06CD901B" w:rsidR="00D71A5F" w:rsidRPr="00154DE6" w:rsidRDefault="003A5F30" w:rsidP="000670BF">
      <w:pPr>
        <w:pStyle w:val="Heading3"/>
        <w:ind w:left="288" w:right="288"/>
      </w:pPr>
      <w:r w:rsidRPr="00154DE6">
        <w:t>What</w:t>
      </w:r>
      <w:r w:rsidRPr="00154DE6">
        <w:rPr>
          <w:spacing w:val="-5"/>
        </w:rPr>
        <w:t xml:space="preserve"> </w:t>
      </w:r>
      <w:r w:rsidRPr="00154DE6">
        <w:t>is</w:t>
      </w:r>
      <w:r w:rsidRPr="00154DE6">
        <w:rPr>
          <w:spacing w:val="-5"/>
        </w:rPr>
        <w:t xml:space="preserve"> </w:t>
      </w:r>
      <w:r w:rsidRPr="00154DE6">
        <w:t>a</w:t>
      </w:r>
      <w:r w:rsidRPr="00154DE6">
        <w:rPr>
          <w:spacing w:val="-5"/>
        </w:rPr>
        <w:t xml:space="preserve"> </w:t>
      </w:r>
      <w:r w:rsidRPr="00154DE6">
        <w:t>Professional</w:t>
      </w:r>
      <w:r w:rsidRPr="00154DE6">
        <w:rPr>
          <w:spacing w:val="-5"/>
        </w:rPr>
        <w:t xml:space="preserve"> </w:t>
      </w:r>
      <w:r w:rsidRPr="00154DE6">
        <w:t>Development</w:t>
      </w:r>
      <w:r w:rsidRPr="00154DE6">
        <w:rPr>
          <w:spacing w:val="-4"/>
        </w:rPr>
        <w:t xml:space="preserve"> </w:t>
      </w:r>
      <w:r w:rsidRPr="00154DE6">
        <w:rPr>
          <w:spacing w:val="-2"/>
        </w:rPr>
        <w:t>Stipend</w:t>
      </w:r>
    </w:p>
    <w:p w14:paraId="24AE8A43" w14:textId="3851E0D2" w:rsidR="00D71A5F" w:rsidRPr="00154DE6" w:rsidRDefault="003A5F30" w:rsidP="006214B7">
      <w:pPr>
        <w:pStyle w:val="BodyText"/>
        <w:spacing w:before="120" w:line="276" w:lineRule="auto"/>
        <w:ind w:left="288" w:right="288"/>
        <w:rPr>
          <w:sz w:val="22"/>
          <w:szCs w:val="22"/>
        </w:rPr>
      </w:pPr>
      <w:r w:rsidRPr="00154DE6">
        <w:rPr>
          <w:sz w:val="22"/>
          <w:szCs w:val="22"/>
        </w:rPr>
        <w:t xml:space="preserve">A Professional Development (PD) </w:t>
      </w:r>
      <w:r w:rsidR="00194FB2" w:rsidRPr="00154DE6">
        <w:rPr>
          <w:sz w:val="22"/>
          <w:szCs w:val="22"/>
        </w:rPr>
        <w:t>s</w:t>
      </w:r>
      <w:r w:rsidRPr="00154DE6">
        <w:rPr>
          <w:sz w:val="22"/>
          <w:szCs w:val="22"/>
        </w:rPr>
        <w:t>tipend is a way to make a one-time payment to faculty participants who complete professional development</w:t>
      </w:r>
      <w:r w:rsidRPr="00154DE6">
        <w:rPr>
          <w:spacing w:val="-3"/>
          <w:sz w:val="22"/>
          <w:szCs w:val="22"/>
        </w:rPr>
        <w:t xml:space="preserve"> </w:t>
      </w:r>
      <w:r w:rsidRPr="00154DE6">
        <w:rPr>
          <w:sz w:val="22"/>
          <w:szCs w:val="22"/>
        </w:rPr>
        <w:t>trainings</w:t>
      </w:r>
      <w:r w:rsidRPr="00154DE6">
        <w:rPr>
          <w:spacing w:val="-2"/>
          <w:sz w:val="22"/>
          <w:szCs w:val="22"/>
        </w:rPr>
        <w:t xml:space="preserve"> </w:t>
      </w:r>
      <w:r w:rsidRPr="00154DE6">
        <w:rPr>
          <w:sz w:val="22"/>
          <w:szCs w:val="22"/>
        </w:rPr>
        <w:t>or</w:t>
      </w:r>
      <w:r w:rsidRPr="00154DE6">
        <w:rPr>
          <w:spacing w:val="-3"/>
          <w:sz w:val="22"/>
          <w:szCs w:val="22"/>
        </w:rPr>
        <w:t xml:space="preserve"> </w:t>
      </w:r>
      <w:r w:rsidRPr="00154DE6">
        <w:rPr>
          <w:sz w:val="22"/>
          <w:szCs w:val="22"/>
        </w:rPr>
        <w:t>workshops</w:t>
      </w:r>
      <w:r w:rsidRPr="00154DE6">
        <w:rPr>
          <w:spacing w:val="-4"/>
          <w:sz w:val="22"/>
          <w:szCs w:val="22"/>
        </w:rPr>
        <w:t xml:space="preserve"> </w:t>
      </w:r>
      <w:r w:rsidRPr="00154DE6">
        <w:rPr>
          <w:sz w:val="22"/>
          <w:szCs w:val="22"/>
        </w:rPr>
        <w:t>in</w:t>
      </w:r>
      <w:r w:rsidRPr="00154DE6">
        <w:rPr>
          <w:spacing w:val="-2"/>
          <w:sz w:val="22"/>
          <w:szCs w:val="22"/>
        </w:rPr>
        <w:t xml:space="preserve"> </w:t>
      </w:r>
      <w:r w:rsidRPr="00154DE6">
        <w:rPr>
          <w:sz w:val="22"/>
          <w:szCs w:val="22"/>
        </w:rPr>
        <w:t>which</w:t>
      </w:r>
      <w:r w:rsidRPr="00154DE6">
        <w:rPr>
          <w:spacing w:val="-2"/>
          <w:sz w:val="22"/>
          <w:szCs w:val="22"/>
        </w:rPr>
        <w:t xml:space="preserve"> </w:t>
      </w:r>
      <w:r w:rsidRPr="00154DE6">
        <w:rPr>
          <w:sz w:val="22"/>
          <w:szCs w:val="22"/>
        </w:rPr>
        <w:t>the</w:t>
      </w:r>
      <w:r w:rsidRPr="00154DE6">
        <w:rPr>
          <w:spacing w:val="-4"/>
          <w:sz w:val="22"/>
          <w:szCs w:val="22"/>
        </w:rPr>
        <w:t xml:space="preserve"> </w:t>
      </w:r>
      <w:r w:rsidRPr="00154DE6">
        <w:rPr>
          <w:sz w:val="22"/>
          <w:szCs w:val="22"/>
        </w:rPr>
        <w:t>payment</w:t>
      </w:r>
      <w:r w:rsidRPr="00154DE6">
        <w:rPr>
          <w:spacing w:val="-3"/>
          <w:sz w:val="22"/>
          <w:szCs w:val="22"/>
        </w:rPr>
        <w:t xml:space="preserve"> </w:t>
      </w:r>
      <w:r w:rsidRPr="00154DE6">
        <w:rPr>
          <w:sz w:val="22"/>
          <w:szCs w:val="22"/>
        </w:rPr>
        <w:t>is</w:t>
      </w:r>
      <w:r w:rsidRPr="00154DE6">
        <w:rPr>
          <w:spacing w:val="-2"/>
          <w:sz w:val="22"/>
          <w:szCs w:val="22"/>
        </w:rPr>
        <w:t xml:space="preserve"> </w:t>
      </w:r>
      <w:r w:rsidRPr="00154DE6">
        <w:rPr>
          <w:sz w:val="22"/>
          <w:szCs w:val="22"/>
        </w:rPr>
        <w:t>pre-approved</w:t>
      </w:r>
      <w:r w:rsidRPr="00154DE6">
        <w:rPr>
          <w:spacing w:val="-2"/>
          <w:sz w:val="22"/>
          <w:szCs w:val="22"/>
        </w:rPr>
        <w:t xml:space="preserve"> </w:t>
      </w:r>
      <w:r w:rsidRPr="00154DE6">
        <w:rPr>
          <w:sz w:val="22"/>
          <w:szCs w:val="22"/>
        </w:rPr>
        <w:t>by</w:t>
      </w:r>
      <w:r w:rsidRPr="00154DE6">
        <w:rPr>
          <w:spacing w:val="-2"/>
          <w:sz w:val="22"/>
          <w:szCs w:val="22"/>
        </w:rPr>
        <w:t xml:space="preserve"> </w:t>
      </w:r>
      <w:r w:rsidRPr="00154DE6">
        <w:rPr>
          <w:sz w:val="22"/>
          <w:szCs w:val="22"/>
        </w:rPr>
        <w:t>the</w:t>
      </w:r>
      <w:r w:rsidRPr="00154DE6">
        <w:rPr>
          <w:spacing w:val="-4"/>
          <w:sz w:val="22"/>
          <w:szCs w:val="22"/>
        </w:rPr>
        <w:t xml:space="preserve"> </w:t>
      </w:r>
      <w:r w:rsidRPr="00154DE6">
        <w:rPr>
          <w:sz w:val="22"/>
          <w:szCs w:val="22"/>
        </w:rPr>
        <w:t>President</w:t>
      </w:r>
      <w:r w:rsidRPr="00154DE6">
        <w:rPr>
          <w:spacing w:val="-3"/>
          <w:sz w:val="22"/>
          <w:szCs w:val="22"/>
        </w:rPr>
        <w:t xml:space="preserve"> </w:t>
      </w:r>
      <w:r w:rsidRPr="00154DE6">
        <w:rPr>
          <w:sz w:val="22"/>
          <w:szCs w:val="22"/>
        </w:rPr>
        <w:t>or</w:t>
      </w:r>
      <w:r w:rsidRPr="00154DE6">
        <w:rPr>
          <w:spacing w:val="-3"/>
          <w:sz w:val="22"/>
          <w:szCs w:val="22"/>
        </w:rPr>
        <w:t xml:space="preserve"> </w:t>
      </w:r>
      <w:r w:rsidRPr="00154DE6">
        <w:rPr>
          <w:sz w:val="22"/>
          <w:szCs w:val="22"/>
        </w:rPr>
        <w:t>their</w:t>
      </w:r>
      <w:r w:rsidRPr="00154DE6">
        <w:rPr>
          <w:spacing w:val="-3"/>
          <w:sz w:val="22"/>
          <w:szCs w:val="22"/>
        </w:rPr>
        <w:t xml:space="preserve"> </w:t>
      </w:r>
      <w:r w:rsidRPr="00154DE6">
        <w:rPr>
          <w:sz w:val="22"/>
          <w:szCs w:val="22"/>
        </w:rPr>
        <w:t xml:space="preserve">designee. </w:t>
      </w:r>
      <w:r w:rsidR="00DB57BB" w:rsidRPr="00154DE6">
        <w:rPr>
          <w:sz w:val="22"/>
          <w:szCs w:val="22"/>
        </w:rPr>
        <w:t>Training</w:t>
      </w:r>
      <w:r w:rsidRPr="00154DE6">
        <w:rPr>
          <w:sz w:val="22"/>
          <w:szCs w:val="22"/>
        </w:rPr>
        <w:t xml:space="preserve"> required by law or CSU policy cannot be considered for a stipend.</w:t>
      </w:r>
      <w:r w:rsidR="00154DE6">
        <w:rPr>
          <w:spacing w:val="40"/>
          <w:sz w:val="22"/>
          <w:szCs w:val="22"/>
        </w:rPr>
        <w:t xml:space="preserve"> </w:t>
      </w:r>
    </w:p>
    <w:p w14:paraId="56FAF864" w14:textId="1408AFD4" w:rsidR="00D71A5F" w:rsidRPr="00154DE6" w:rsidRDefault="00194FB2" w:rsidP="000670BF">
      <w:pPr>
        <w:pStyle w:val="Heading3"/>
        <w:spacing w:before="159"/>
        <w:ind w:left="288" w:right="288"/>
      </w:pPr>
      <w:r w:rsidRPr="00154DE6">
        <w:t>What are the parameters for the stipend</w:t>
      </w:r>
    </w:p>
    <w:p w14:paraId="0AA2D4CD" w14:textId="77777777" w:rsidR="00194FB2" w:rsidRPr="00154DE6" w:rsidRDefault="00194FB2" w:rsidP="006214B7">
      <w:pPr>
        <w:pStyle w:val="BodyText"/>
        <w:spacing w:before="120" w:line="276" w:lineRule="auto"/>
        <w:ind w:left="288" w:right="288"/>
        <w:rPr>
          <w:sz w:val="22"/>
          <w:szCs w:val="22"/>
        </w:rPr>
      </w:pPr>
      <w:r w:rsidRPr="00154DE6">
        <w:rPr>
          <w:sz w:val="22"/>
          <w:szCs w:val="22"/>
        </w:rPr>
        <w:t>Stipends will typically be limited to multi-participant training activities organized at the campus or college level under the following conditions:</w:t>
      </w:r>
    </w:p>
    <w:p w14:paraId="48689F8F" w14:textId="331CE9D0" w:rsidR="00194FB2" w:rsidRPr="00154DE6" w:rsidRDefault="00154DE6" w:rsidP="000670BF">
      <w:pPr>
        <w:pStyle w:val="BodyText"/>
        <w:numPr>
          <w:ilvl w:val="0"/>
          <w:numId w:val="3"/>
        </w:numPr>
        <w:spacing w:before="120" w:line="276" w:lineRule="auto"/>
        <w:ind w:left="792" w:right="288"/>
        <w:contextualSpacing/>
        <w:rPr>
          <w:sz w:val="22"/>
          <w:szCs w:val="22"/>
        </w:rPr>
      </w:pPr>
      <w:r>
        <w:rPr>
          <w:sz w:val="22"/>
          <w:szCs w:val="22"/>
        </w:rPr>
        <w:t>Payments must be made from state funds.</w:t>
      </w:r>
    </w:p>
    <w:p w14:paraId="42702837" w14:textId="3F6E4FF3" w:rsidR="00194FB2" w:rsidRPr="00154DE6" w:rsidRDefault="00194FB2" w:rsidP="000670BF">
      <w:pPr>
        <w:pStyle w:val="BodyText"/>
        <w:numPr>
          <w:ilvl w:val="0"/>
          <w:numId w:val="3"/>
        </w:numPr>
        <w:spacing w:before="120" w:line="276" w:lineRule="auto"/>
        <w:ind w:left="792" w:right="288"/>
        <w:contextualSpacing/>
        <w:rPr>
          <w:sz w:val="22"/>
          <w:szCs w:val="22"/>
        </w:rPr>
      </w:pPr>
      <w:r w:rsidRPr="00154DE6">
        <w:rPr>
          <w:sz w:val="22"/>
          <w:szCs w:val="22"/>
        </w:rPr>
        <w:t>Equal payment must be provided to all faculty who complete the training and professional development activity.</w:t>
      </w:r>
    </w:p>
    <w:p w14:paraId="13639492" w14:textId="29C336DB" w:rsidR="00194FB2" w:rsidRPr="00154DE6" w:rsidRDefault="00194FB2" w:rsidP="000670BF">
      <w:pPr>
        <w:pStyle w:val="BodyText"/>
        <w:numPr>
          <w:ilvl w:val="0"/>
          <w:numId w:val="3"/>
        </w:numPr>
        <w:spacing w:before="120" w:line="276" w:lineRule="auto"/>
        <w:ind w:left="792" w:right="288"/>
        <w:contextualSpacing/>
        <w:rPr>
          <w:sz w:val="22"/>
          <w:szCs w:val="22"/>
        </w:rPr>
      </w:pPr>
      <w:r w:rsidRPr="00154DE6">
        <w:rPr>
          <w:sz w:val="22"/>
          <w:szCs w:val="22"/>
        </w:rPr>
        <w:t>Training activities must be consistent with Article 25 (Professional Development) of the CBA such as training or retraining of benefit to the CSU.</w:t>
      </w:r>
    </w:p>
    <w:p w14:paraId="1520457E" w14:textId="038EC881" w:rsidR="00194FB2" w:rsidRPr="00154DE6" w:rsidRDefault="00194FB2" w:rsidP="000670BF">
      <w:pPr>
        <w:pStyle w:val="BodyText"/>
        <w:numPr>
          <w:ilvl w:val="0"/>
          <w:numId w:val="3"/>
        </w:numPr>
        <w:spacing w:before="120" w:line="276" w:lineRule="auto"/>
        <w:ind w:left="792" w:right="288"/>
        <w:contextualSpacing/>
        <w:rPr>
          <w:sz w:val="22"/>
          <w:szCs w:val="22"/>
        </w:rPr>
      </w:pPr>
      <w:r w:rsidRPr="00154DE6">
        <w:rPr>
          <w:sz w:val="22"/>
          <w:szCs w:val="22"/>
        </w:rPr>
        <w:t>Payments are taxable</w:t>
      </w:r>
      <w:r w:rsidR="00154DE6">
        <w:rPr>
          <w:sz w:val="22"/>
          <w:szCs w:val="22"/>
        </w:rPr>
        <w:t xml:space="preserve"> and</w:t>
      </w:r>
      <w:r w:rsidRPr="00154DE6">
        <w:rPr>
          <w:sz w:val="22"/>
          <w:szCs w:val="22"/>
        </w:rPr>
        <w:t xml:space="preserve"> are not pensionable.</w:t>
      </w:r>
    </w:p>
    <w:p w14:paraId="4DA463AA" w14:textId="03808E8F" w:rsidR="00194FB2" w:rsidRPr="00154DE6" w:rsidRDefault="00194FB2" w:rsidP="000670BF">
      <w:pPr>
        <w:pStyle w:val="BodyText"/>
        <w:numPr>
          <w:ilvl w:val="0"/>
          <w:numId w:val="3"/>
        </w:numPr>
        <w:spacing w:before="120" w:line="276" w:lineRule="auto"/>
        <w:ind w:left="792" w:right="288"/>
        <w:contextualSpacing/>
        <w:rPr>
          <w:sz w:val="22"/>
          <w:szCs w:val="22"/>
        </w:rPr>
      </w:pPr>
      <w:r w:rsidRPr="00154DE6">
        <w:rPr>
          <w:sz w:val="22"/>
          <w:szCs w:val="22"/>
        </w:rPr>
        <w:t>Payment of these stipends does not constitute additional employment or provide for additional entitlements.</w:t>
      </w:r>
    </w:p>
    <w:p w14:paraId="685AD5C4" w14:textId="7FC7A953" w:rsidR="00194FB2" w:rsidRPr="00154DE6" w:rsidRDefault="00194FB2" w:rsidP="000670BF">
      <w:pPr>
        <w:pStyle w:val="BodyText"/>
        <w:numPr>
          <w:ilvl w:val="0"/>
          <w:numId w:val="3"/>
        </w:numPr>
        <w:spacing w:before="120" w:line="276" w:lineRule="auto"/>
        <w:ind w:left="792" w:right="288"/>
        <w:contextualSpacing/>
        <w:rPr>
          <w:sz w:val="22"/>
          <w:szCs w:val="22"/>
        </w:rPr>
      </w:pPr>
      <w:r w:rsidRPr="00154DE6">
        <w:rPr>
          <w:sz w:val="22"/>
          <w:szCs w:val="22"/>
        </w:rPr>
        <w:t>Faculty participants must</w:t>
      </w:r>
      <w:r w:rsidRPr="00154DE6">
        <w:rPr>
          <w:spacing w:val="-3"/>
          <w:sz w:val="22"/>
          <w:szCs w:val="22"/>
        </w:rPr>
        <w:t xml:space="preserve"> </w:t>
      </w:r>
      <w:r w:rsidRPr="00154DE6">
        <w:rPr>
          <w:sz w:val="22"/>
          <w:szCs w:val="22"/>
        </w:rPr>
        <w:t>complete</w:t>
      </w:r>
      <w:r w:rsidRPr="00154DE6">
        <w:rPr>
          <w:spacing w:val="-4"/>
          <w:sz w:val="22"/>
          <w:szCs w:val="22"/>
        </w:rPr>
        <w:t xml:space="preserve"> </w:t>
      </w:r>
      <w:r w:rsidRPr="00154DE6">
        <w:rPr>
          <w:sz w:val="22"/>
          <w:szCs w:val="22"/>
        </w:rPr>
        <w:t>the</w:t>
      </w:r>
      <w:r w:rsidRPr="00154DE6">
        <w:rPr>
          <w:spacing w:val="-4"/>
          <w:sz w:val="22"/>
          <w:szCs w:val="22"/>
        </w:rPr>
        <w:t xml:space="preserve"> </w:t>
      </w:r>
      <w:r w:rsidRPr="00154DE6">
        <w:rPr>
          <w:sz w:val="22"/>
          <w:szCs w:val="22"/>
        </w:rPr>
        <w:t>stated</w:t>
      </w:r>
      <w:r w:rsidRPr="00154DE6">
        <w:rPr>
          <w:spacing w:val="-2"/>
          <w:sz w:val="22"/>
          <w:szCs w:val="22"/>
        </w:rPr>
        <w:t xml:space="preserve"> </w:t>
      </w:r>
      <w:r w:rsidRPr="00154DE6">
        <w:rPr>
          <w:sz w:val="22"/>
          <w:szCs w:val="22"/>
        </w:rPr>
        <w:t>terms</w:t>
      </w:r>
      <w:r w:rsidRPr="00154DE6">
        <w:rPr>
          <w:spacing w:val="-2"/>
          <w:sz w:val="22"/>
          <w:szCs w:val="22"/>
        </w:rPr>
        <w:t xml:space="preserve"> </w:t>
      </w:r>
      <w:r w:rsidRPr="00154DE6">
        <w:rPr>
          <w:sz w:val="22"/>
          <w:szCs w:val="22"/>
        </w:rPr>
        <w:t>in</w:t>
      </w:r>
      <w:r w:rsidRPr="00154DE6">
        <w:rPr>
          <w:spacing w:val="-2"/>
          <w:sz w:val="22"/>
          <w:szCs w:val="22"/>
        </w:rPr>
        <w:t xml:space="preserve"> </w:t>
      </w:r>
      <w:r w:rsidRPr="00154DE6">
        <w:rPr>
          <w:sz w:val="22"/>
          <w:szCs w:val="22"/>
        </w:rPr>
        <w:t>full</w:t>
      </w:r>
      <w:r w:rsidRPr="00154DE6">
        <w:rPr>
          <w:spacing w:val="-3"/>
          <w:sz w:val="22"/>
          <w:szCs w:val="22"/>
        </w:rPr>
        <w:t xml:space="preserve"> </w:t>
      </w:r>
      <w:r w:rsidRPr="00154DE6">
        <w:rPr>
          <w:sz w:val="22"/>
          <w:szCs w:val="22"/>
        </w:rPr>
        <w:t>to</w:t>
      </w:r>
      <w:r w:rsidRPr="00154DE6">
        <w:rPr>
          <w:spacing w:val="-3"/>
          <w:sz w:val="22"/>
          <w:szCs w:val="22"/>
        </w:rPr>
        <w:t xml:space="preserve"> </w:t>
      </w:r>
      <w:r w:rsidRPr="00154DE6">
        <w:rPr>
          <w:sz w:val="22"/>
          <w:szCs w:val="22"/>
        </w:rPr>
        <w:t>be</w:t>
      </w:r>
      <w:r w:rsidRPr="00154DE6">
        <w:rPr>
          <w:spacing w:val="-4"/>
          <w:sz w:val="22"/>
          <w:szCs w:val="22"/>
        </w:rPr>
        <w:t xml:space="preserve"> </w:t>
      </w:r>
      <w:r w:rsidRPr="00154DE6">
        <w:rPr>
          <w:sz w:val="22"/>
          <w:szCs w:val="22"/>
        </w:rPr>
        <w:t>eligible</w:t>
      </w:r>
      <w:r w:rsidRPr="00154DE6">
        <w:rPr>
          <w:spacing w:val="-1"/>
          <w:sz w:val="22"/>
          <w:szCs w:val="22"/>
        </w:rPr>
        <w:t xml:space="preserve"> </w:t>
      </w:r>
      <w:r w:rsidRPr="00154DE6">
        <w:rPr>
          <w:sz w:val="22"/>
          <w:szCs w:val="22"/>
        </w:rPr>
        <w:t>for</w:t>
      </w:r>
      <w:r w:rsidRPr="00154DE6">
        <w:rPr>
          <w:spacing w:val="-3"/>
          <w:sz w:val="22"/>
          <w:szCs w:val="22"/>
        </w:rPr>
        <w:t xml:space="preserve"> </w:t>
      </w:r>
      <w:r w:rsidRPr="00154DE6">
        <w:rPr>
          <w:sz w:val="22"/>
          <w:szCs w:val="22"/>
        </w:rPr>
        <w:t>payment.</w:t>
      </w:r>
    </w:p>
    <w:p w14:paraId="1FCD3DB0" w14:textId="6C2DD58F" w:rsidR="00194FB2" w:rsidRPr="00154DE6" w:rsidRDefault="00194FB2" w:rsidP="000670BF">
      <w:pPr>
        <w:pStyle w:val="BodyText"/>
        <w:numPr>
          <w:ilvl w:val="0"/>
          <w:numId w:val="3"/>
        </w:numPr>
        <w:spacing w:before="120" w:line="276" w:lineRule="auto"/>
        <w:ind w:left="792" w:right="288"/>
        <w:contextualSpacing/>
        <w:rPr>
          <w:sz w:val="22"/>
          <w:szCs w:val="22"/>
        </w:rPr>
      </w:pPr>
      <w:r w:rsidRPr="00154DE6">
        <w:rPr>
          <w:sz w:val="22"/>
          <w:szCs w:val="22"/>
        </w:rPr>
        <w:t xml:space="preserve">Participation in professional development/training may not be considered during faculty review (e.g., evaluations or range elevations) or consideration for course assignments unless faculty include it in their list of qualifications (e.g., on their CV).  </w:t>
      </w:r>
    </w:p>
    <w:p w14:paraId="4034EA3C" w14:textId="50252870" w:rsidR="00194FB2" w:rsidRPr="00154DE6" w:rsidRDefault="00194FB2" w:rsidP="000670BF">
      <w:pPr>
        <w:pStyle w:val="BodyText"/>
        <w:numPr>
          <w:ilvl w:val="0"/>
          <w:numId w:val="3"/>
        </w:numPr>
        <w:spacing w:before="120" w:line="276" w:lineRule="auto"/>
        <w:ind w:left="792" w:right="288"/>
        <w:contextualSpacing/>
        <w:rPr>
          <w:sz w:val="22"/>
          <w:szCs w:val="22"/>
        </w:rPr>
      </w:pPr>
      <w:r w:rsidRPr="00154DE6">
        <w:rPr>
          <w:sz w:val="22"/>
          <w:szCs w:val="22"/>
        </w:rPr>
        <w:t>Professional development/training program stipends shall not be considered extraordinary support or constitute work for hire (see Article 39 of the CBA).</w:t>
      </w:r>
    </w:p>
    <w:p w14:paraId="0F8B445F" w14:textId="411B3B48" w:rsidR="00194FB2" w:rsidRPr="00154DE6" w:rsidRDefault="00194FB2" w:rsidP="000670BF">
      <w:pPr>
        <w:pStyle w:val="BodyText"/>
        <w:numPr>
          <w:ilvl w:val="0"/>
          <w:numId w:val="3"/>
        </w:numPr>
        <w:spacing w:before="120" w:line="276" w:lineRule="auto"/>
        <w:ind w:left="792" w:right="288"/>
        <w:contextualSpacing/>
        <w:rPr>
          <w:sz w:val="22"/>
          <w:szCs w:val="22"/>
        </w:rPr>
      </w:pPr>
      <w:r w:rsidRPr="00154DE6">
        <w:rPr>
          <w:sz w:val="22"/>
          <w:szCs w:val="22"/>
        </w:rPr>
        <w:t>Stipends can only be issued to individuals participating in the training.  Per systemwide guidance, stipends cannot be issued to faculty who are providing the training.</w:t>
      </w:r>
    </w:p>
    <w:p w14:paraId="7857AA17" w14:textId="39CFDBBE" w:rsidR="00194FB2" w:rsidRPr="00154DE6" w:rsidRDefault="00194FB2" w:rsidP="000670BF">
      <w:pPr>
        <w:pStyle w:val="BodyText"/>
        <w:numPr>
          <w:ilvl w:val="0"/>
          <w:numId w:val="3"/>
        </w:numPr>
        <w:spacing w:before="120" w:line="276" w:lineRule="auto"/>
        <w:ind w:left="792" w:right="288"/>
        <w:contextualSpacing/>
        <w:rPr>
          <w:sz w:val="22"/>
          <w:szCs w:val="22"/>
        </w:rPr>
      </w:pPr>
      <w:r w:rsidRPr="00154DE6">
        <w:rPr>
          <w:sz w:val="22"/>
          <w:szCs w:val="22"/>
        </w:rPr>
        <w:t xml:space="preserve">All eligible faculty must be notified of </w:t>
      </w:r>
      <w:r w:rsidR="000670BF" w:rsidRPr="00154DE6">
        <w:rPr>
          <w:sz w:val="22"/>
          <w:szCs w:val="22"/>
        </w:rPr>
        <w:t xml:space="preserve">stipend-bearing </w:t>
      </w:r>
      <w:r w:rsidRPr="00154DE6">
        <w:rPr>
          <w:sz w:val="22"/>
          <w:szCs w:val="22"/>
        </w:rPr>
        <w:t>training and professional development opportunities.</w:t>
      </w:r>
    </w:p>
    <w:p w14:paraId="35559681" w14:textId="28013849" w:rsidR="00194FB2" w:rsidRPr="00154DE6" w:rsidRDefault="00194FB2" w:rsidP="000670BF">
      <w:pPr>
        <w:pStyle w:val="BodyText"/>
        <w:numPr>
          <w:ilvl w:val="0"/>
          <w:numId w:val="3"/>
        </w:numPr>
        <w:spacing w:before="120" w:line="276" w:lineRule="auto"/>
        <w:ind w:left="792" w:right="288"/>
        <w:contextualSpacing/>
        <w:rPr>
          <w:sz w:val="22"/>
          <w:szCs w:val="22"/>
        </w:rPr>
      </w:pPr>
      <w:r w:rsidRPr="00154DE6">
        <w:rPr>
          <w:sz w:val="22"/>
          <w:szCs w:val="22"/>
        </w:rPr>
        <w:t>All stipends are limited to a combined maximum of $10,000 per Unit 3 employee per fiscal year. Faculty cannot accept an offer for a stipend that will cause them to exceed this annual limit.</w:t>
      </w:r>
    </w:p>
    <w:p w14:paraId="588F55F4" w14:textId="239FC462" w:rsidR="00194FB2" w:rsidRPr="00154DE6" w:rsidRDefault="00194FB2" w:rsidP="000670BF">
      <w:pPr>
        <w:pStyle w:val="Heading3"/>
        <w:spacing w:before="159"/>
        <w:ind w:left="288" w:right="288"/>
      </w:pPr>
      <w:r w:rsidRPr="00154DE6">
        <w:t>How is pre-approval obtained</w:t>
      </w:r>
    </w:p>
    <w:p w14:paraId="26A444D2" w14:textId="14965DC3" w:rsidR="00194FB2" w:rsidRPr="00154DE6" w:rsidRDefault="00194FB2" w:rsidP="000670BF">
      <w:pPr>
        <w:pStyle w:val="BodyText"/>
        <w:spacing w:before="120" w:line="276" w:lineRule="auto"/>
        <w:ind w:left="288" w:right="288"/>
        <w:contextualSpacing/>
        <w:rPr>
          <w:sz w:val="22"/>
          <w:szCs w:val="22"/>
        </w:rPr>
      </w:pPr>
      <w:r w:rsidRPr="00154DE6">
        <w:rPr>
          <w:sz w:val="22"/>
          <w:szCs w:val="22"/>
        </w:rPr>
        <w:t xml:space="preserve">A stipend cannot be offered or paid without pre-approval.  The appropriate administrator overseeing the professional development program must confirm the source of funds </w:t>
      </w:r>
      <w:r w:rsidR="00154DE6" w:rsidRPr="00154DE6">
        <w:rPr>
          <w:sz w:val="22"/>
          <w:szCs w:val="22"/>
        </w:rPr>
        <w:t>and</w:t>
      </w:r>
      <w:r w:rsidRPr="00154DE6">
        <w:rPr>
          <w:sz w:val="22"/>
          <w:szCs w:val="22"/>
        </w:rPr>
        <w:t xml:space="preserve"> ensure adequate budget is available.  After this is confirmed, the offering department must complete a Faculty Professional Development Stipend Request Form and submit a draft PD Stipend Announcement of the opportunity.  These two documents will be reviewed by Faculty Affairs and Success.  Approval will be sent to the appropriate administrator in writing.  Following approval, the organizer must make publicly available the opportunity for the stipend using the approved PD Stipend Announcement and ensure it is viewable by all eligible faculty.</w:t>
      </w:r>
    </w:p>
    <w:p w14:paraId="1A290D0F" w14:textId="31B14D2A" w:rsidR="00194FB2" w:rsidRPr="00154DE6" w:rsidRDefault="00194FB2" w:rsidP="000670BF">
      <w:pPr>
        <w:pStyle w:val="Heading3"/>
        <w:spacing w:before="159"/>
        <w:ind w:left="288" w:right="288"/>
      </w:pPr>
      <w:r w:rsidRPr="00154DE6">
        <w:t>Who is eligible</w:t>
      </w:r>
    </w:p>
    <w:p w14:paraId="0EF2EE7B" w14:textId="6812C021" w:rsidR="00194FB2" w:rsidRPr="00154DE6" w:rsidRDefault="00194FB2" w:rsidP="000670BF">
      <w:pPr>
        <w:pStyle w:val="BodyText"/>
        <w:spacing w:before="120" w:line="276" w:lineRule="auto"/>
        <w:ind w:left="288" w:right="288"/>
        <w:contextualSpacing/>
        <w:rPr>
          <w:sz w:val="22"/>
          <w:szCs w:val="22"/>
        </w:rPr>
      </w:pPr>
      <w:r w:rsidRPr="00154DE6">
        <w:rPr>
          <w:sz w:val="22"/>
          <w:szCs w:val="22"/>
        </w:rPr>
        <w:t>Full-time</w:t>
      </w:r>
      <w:r w:rsidRPr="00154DE6">
        <w:rPr>
          <w:spacing w:val="-3"/>
          <w:sz w:val="22"/>
          <w:szCs w:val="22"/>
        </w:rPr>
        <w:t xml:space="preserve"> </w:t>
      </w:r>
      <w:r w:rsidRPr="00154DE6">
        <w:rPr>
          <w:sz w:val="22"/>
          <w:szCs w:val="22"/>
        </w:rPr>
        <w:t>and</w:t>
      </w:r>
      <w:r w:rsidRPr="00154DE6">
        <w:rPr>
          <w:spacing w:val="-1"/>
          <w:sz w:val="22"/>
          <w:szCs w:val="22"/>
        </w:rPr>
        <w:t xml:space="preserve"> </w:t>
      </w:r>
      <w:r w:rsidRPr="00154DE6">
        <w:rPr>
          <w:sz w:val="22"/>
          <w:szCs w:val="22"/>
        </w:rPr>
        <w:t>part-time</w:t>
      </w:r>
      <w:r w:rsidRPr="00154DE6">
        <w:rPr>
          <w:spacing w:val="-3"/>
          <w:sz w:val="22"/>
          <w:szCs w:val="22"/>
        </w:rPr>
        <w:t xml:space="preserve"> </w:t>
      </w:r>
      <w:r w:rsidRPr="00154DE6">
        <w:rPr>
          <w:sz w:val="22"/>
          <w:szCs w:val="22"/>
        </w:rPr>
        <w:t>Unit</w:t>
      </w:r>
      <w:r w:rsidRPr="00154DE6">
        <w:rPr>
          <w:spacing w:val="-2"/>
          <w:sz w:val="22"/>
          <w:szCs w:val="22"/>
        </w:rPr>
        <w:t xml:space="preserve"> </w:t>
      </w:r>
      <w:r w:rsidRPr="00154DE6">
        <w:rPr>
          <w:sz w:val="22"/>
          <w:szCs w:val="22"/>
        </w:rPr>
        <w:t>3</w:t>
      </w:r>
      <w:r w:rsidRPr="00154DE6">
        <w:rPr>
          <w:spacing w:val="-2"/>
          <w:sz w:val="22"/>
          <w:szCs w:val="22"/>
        </w:rPr>
        <w:t xml:space="preserve"> </w:t>
      </w:r>
      <w:r w:rsidRPr="00154DE6">
        <w:rPr>
          <w:sz w:val="22"/>
          <w:szCs w:val="22"/>
        </w:rPr>
        <w:t>faculty</w:t>
      </w:r>
      <w:r w:rsidRPr="00154DE6">
        <w:rPr>
          <w:spacing w:val="-1"/>
          <w:sz w:val="22"/>
          <w:szCs w:val="22"/>
        </w:rPr>
        <w:t xml:space="preserve"> </w:t>
      </w:r>
      <w:r w:rsidRPr="00154DE6">
        <w:rPr>
          <w:sz w:val="22"/>
          <w:szCs w:val="22"/>
        </w:rPr>
        <w:t>with</w:t>
      </w:r>
      <w:r w:rsidRPr="00154DE6">
        <w:rPr>
          <w:spacing w:val="-1"/>
          <w:sz w:val="22"/>
          <w:szCs w:val="22"/>
        </w:rPr>
        <w:t xml:space="preserve"> </w:t>
      </w:r>
      <w:r w:rsidRPr="00154DE6">
        <w:rPr>
          <w:sz w:val="22"/>
          <w:szCs w:val="22"/>
        </w:rPr>
        <w:t>an</w:t>
      </w:r>
      <w:r w:rsidRPr="00154DE6">
        <w:rPr>
          <w:spacing w:val="-1"/>
          <w:sz w:val="22"/>
          <w:szCs w:val="22"/>
        </w:rPr>
        <w:t xml:space="preserve"> </w:t>
      </w:r>
      <w:r w:rsidRPr="00154DE6">
        <w:rPr>
          <w:sz w:val="22"/>
          <w:szCs w:val="22"/>
        </w:rPr>
        <w:t xml:space="preserve">existing Unit 3 appointment during the entire time frame of the training or professional development opportunity are eligible to be considered for a stipend.  All portions of the PD activity must be completed while the faculty member is on contract in their Unit 3 appointment.  Note that the PD alone does not constitute the necessary Unit 3 appointment. </w:t>
      </w:r>
      <w:r w:rsidRPr="00154DE6">
        <w:rPr>
          <w:spacing w:val="-3"/>
          <w:sz w:val="22"/>
          <w:szCs w:val="22"/>
        </w:rPr>
        <w:t xml:space="preserve"> Per CalPERS, f</w:t>
      </w:r>
      <w:r w:rsidRPr="00154DE6">
        <w:rPr>
          <w:sz w:val="22"/>
          <w:szCs w:val="22"/>
        </w:rPr>
        <w:t>aculty</w:t>
      </w:r>
      <w:r w:rsidR="00CF173E" w:rsidRPr="00154DE6">
        <w:rPr>
          <w:sz w:val="22"/>
          <w:szCs w:val="22"/>
        </w:rPr>
        <w:t xml:space="preserve"> participating in the FERP program or those</w:t>
      </w:r>
      <w:r w:rsidRPr="00154DE6">
        <w:rPr>
          <w:sz w:val="22"/>
          <w:szCs w:val="22"/>
        </w:rPr>
        <w:t xml:space="preserve"> who are Retired Annuitants are ineligible for a PD </w:t>
      </w:r>
      <w:r w:rsidR="00CF173E" w:rsidRPr="00154DE6">
        <w:rPr>
          <w:sz w:val="22"/>
          <w:szCs w:val="22"/>
        </w:rPr>
        <w:t>s</w:t>
      </w:r>
      <w:r w:rsidRPr="00154DE6">
        <w:rPr>
          <w:sz w:val="22"/>
          <w:szCs w:val="22"/>
        </w:rPr>
        <w:t xml:space="preserve">tipend.  Some PD opportunities may have other specific eligibility requirements. </w:t>
      </w:r>
    </w:p>
    <w:p w14:paraId="3EF216C5" w14:textId="77777777" w:rsidR="00194FB2" w:rsidRPr="00154DE6" w:rsidRDefault="00194FB2" w:rsidP="000670BF">
      <w:pPr>
        <w:pStyle w:val="BodyText"/>
        <w:ind w:left="288" w:right="288"/>
        <w:rPr>
          <w:rFonts w:asciiTheme="minorHAnsi" w:hAnsiTheme="minorHAnsi" w:cstheme="minorHAnsi"/>
          <w:sz w:val="22"/>
          <w:szCs w:val="22"/>
        </w:rPr>
      </w:pPr>
    </w:p>
    <w:p w14:paraId="0D838E35" w14:textId="2FD84B65" w:rsidR="00D71A5F" w:rsidRPr="00154DE6" w:rsidRDefault="00194FB2" w:rsidP="000670BF">
      <w:pPr>
        <w:pStyle w:val="BodyText"/>
        <w:ind w:left="288" w:right="288"/>
        <w:rPr>
          <w:rFonts w:ascii="Times New Roman"/>
          <w:sz w:val="22"/>
          <w:szCs w:val="22"/>
        </w:rPr>
      </w:pPr>
      <w:r w:rsidRPr="00154DE6">
        <w:rPr>
          <w:rFonts w:asciiTheme="minorHAnsi" w:hAnsiTheme="minorHAnsi" w:cstheme="minorHAnsi"/>
          <w:sz w:val="22"/>
          <w:szCs w:val="22"/>
        </w:rPr>
        <w:t>Questions about professional development stipends may be directed to Faculty Affairs and Succe</w:t>
      </w:r>
      <w:r w:rsidR="00FF212E" w:rsidRPr="00154DE6">
        <w:rPr>
          <w:rFonts w:asciiTheme="minorHAnsi" w:hAnsiTheme="minorHAnsi" w:cstheme="minorHAnsi"/>
          <w:sz w:val="22"/>
          <w:szCs w:val="22"/>
        </w:rPr>
        <w:t>ss.</w:t>
      </w:r>
    </w:p>
    <w:sectPr w:rsidR="00D71A5F" w:rsidRPr="00154DE6">
      <w:footerReference w:type="default" r:id="rId8"/>
      <w:pgSz w:w="12240" w:h="15840"/>
      <w:pgMar w:top="220" w:right="360" w:bottom="440" w:left="360" w:header="0" w:footer="2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86526" w14:textId="77777777" w:rsidR="00536420" w:rsidRDefault="00536420">
      <w:r>
        <w:separator/>
      </w:r>
    </w:p>
  </w:endnote>
  <w:endnote w:type="continuationSeparator" w:id="0">
    <w:p w14:paraId="078D45F9" w14:textId="77777777" w:rsidR="00536420" w:rsidRDefault="00536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2348" w14:textId="24250D84" w:rsidR="00D71A5F" w:rsidRDefault="006214B7">
    <w:pPr>
      <w:pStyle w:val="BodyText"/>
      <w:spacing w:line="14" w:lineRule="auto"/>
    </w:pPr>
    <w:r>
      <w:rPr>
        <w:noProof/>
      </w:rPr>
      <mc:AlternateContent>
        <mc:Choice Requires="wps">
          <w:drawing>
            <wp:anchor distT="0" distB="0" distL="0" distR="0" simplePos="0" relativeHeight="251659776" behindDoc="1" locked="0" layoutInCell="1" allowOverlap="1" wp14:anchorId="237DACC3" wp14:editId="467E76E0">
              <wp:simplePos x="0" y="0"/>
              <wp:positionH relativeFrom="page">
                <wp:posOffset>6315075</wp:posOffset>
              </wp:positionH>
              <wp:positionV relativeFrom="page">
                <wp:posOffset>9766935</wp:posOffset>
              </wp:positionV>
              <wp:extent cx="975360"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5360" cy="152400"/>
                      </a:xfrm>
                      <a:prstGeom prst="rect">
                        <a:avLst/>
                      </a:prstGeom>
                    </wps:spPr>
                    <wps:txbx>
                      <w:txbxContent>
                        <w:p w14:paraId="53EC7626" w14:textId="1D4C93B9" w:rsidR="00D71A5F" w:rsidRPr="006214B7" w:rsidRDefault="006214B7" w:rsidP="006214B7">
                          <w:pPr>
                            <w:spacing w:before="12"/>
                            <w:ind w:left="20"/>
                            <w:jc w:val="right"/>
                            <w:rPr>
                              <w:rFonts w:asciiTheme="minorHAnsi" w:hAnsiTheme="minorHAnsi" w:cstheme="minorHAnsi"/>
                              <w:iCs/>
                              <w:sz w:val="18"/>
                            </w:rPr>
                          </w:pPr>
                          <w:r>
                            <w:rPr>
                              <w:rFonts w:asciiTheme="minorHAnsi" w:hAnsiTheme="minorHAnsi" w:cstheme="minorHAnsi"/>
                              <w:iCs/>
                              <w:spacing w:val="-4"/>
                              <w:sz w:val="18"/>
                            </w:rPr>
                            <w:t>7/1</w:t>
                          </w:r>
                          <w:r w:rsidR="009F575F">
                            <w:rPr>
                              <w:rFonts w:asciiTheme="minorHAnsi" w:hAnsiTheme="minorHAnsi" w:cstheme="minorHAnsi"/>
                              <w:iCs/>
                              <w:spacing w:val="-4"/>
                              <w:sz w:val="18"/>
                            </w:rPr>
                            <w:t>7</w:t>
                          </w:r>
                          <w:r>
                            <w:rPr>
                              <w:rFonts w:asciiTheme="minorHAnsi" w:hAnsiTheme="minorHAnsi" w:cstheme="minorHAnsi"/>
                              <w:iCs/>
                              <w:spacing w:val="-4"/>
                              <w:sz w:val="18"/>
                            </w:rPr>
                            <w:t>/2026</w:t>
                          </w:r>
                        </w:p>
                      </w:txbxContent>
                    </wps:txbx>
                    <wps:bodyPr wrap="square" lIns="0" tIns="0" rIns="0" bIns="0" rtlCol="0">
                      <a:noAutofit/>
                    </wps:bodyPr>
                  </wps:wsp>
                </a:graphicData>
              </a:graphic>
            </wp:anchor>
          </w:drawing>
        </mc:Choice>
        <mc:Fallback>
          <w:pict>
            <v:shapetype w14:anchorId="237DACC3" id="_x0000_t202" coordsize="21600,21600" o:spt="202" path="m,l,21600r21600,l21600,xe">
              <v:stroke joinstyle="miter"/>
              <v:path gradientshapeok="t" o:connecttype="rect"/>
            </v:shapetype>
            <v:shape id="Textbox 2" o:spid="_x0000_s1027" type="#_x0000_t202" style="position:absolute;margin-left:497.25pt;margin-top:769.05pt;width:76.8pt;height:12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" filled="f" stroked="f">
              <v:textbox inset="0,0,0,0">
                <w:txbxContent>
                  <w:p w14:paraId="53EC7626" w14:textId="1D4C93B9" w:rsidR="00D71A5F" w:rsidRPr="006214B7" w:rsidRDefault="006214B7" w:rsidP="006214B7">
                    <w:pPr>
                      <w:spacing w:before="12"/>
                      <w:ind w:left="20"/>
                      <w:jc w:val="right"/>
                      <w:rPr>
                        <w:rFonts w:asciiTheme="minorHAnsi" w:hAnsiTheme="minorHAnsi" w:cstheme="minorHAnsi"/>
                        <w:iCs/>
                        <w:sz w:val="18"/>
                      </w:rPr>
                    </w:pPr>
                    <w:r>
                      <w:rPr>
                        <w:rFonts w:asciiTheme="minorHAnsi" w:hAnsiTheme="minorHAnsi" w:cstheme="minorHAnsi"/>
                        <w:iCs/>
                        <w:spacing w:val="-4"/>
                        <w:sz w:val="18"/>
                      </w:rPr>
                      <w:t>7/1</w:t>
                    </w:r>
                    <w:r w:rsidR="009F575F">
                      <w:rPr>
                        <w:rFonts w:asciiTheme="minorHAnsi" w:hAnsiTheme="minorHAnsi" w:cstheme="minorHAnsi"/>
                        <w:iCs/>
                        <w:spacing w:val="-4"/>
                        <w:sz w:val="18"/>
                      </w:rPr>
                      <w:t>7</w:t>
                    </w:r>
                    <w:r>
                      <w:rPr>
                        <w:rFonts w:asciiTheme="minorHAnsi" w:hAnsiTheme="minorHAnsi" w:cstheme="minorHAnsi"/>
                        <w:iCs/>
                        <w:spacing w:val="-4"/>
                        <w:sz w:val="18"/>
                      </w:rPr>
                      <w:t>/2026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738CF" w14:textId="77777777" w:rsidR="00536420" w:rsidRDefault="00536420">
      <w:r>
        <w:separator/>
      </w:r>
    </w:p>
  </w:footnote>
  <w:footnote w:type="continuationSeparator" w:id="0">
    <w:p w14:paraId="493A1168" w14:textId="77777777" w:rsidR="00536420" w:rsidRDefault="00536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A7621E"/>
    <w:multiLevelType w:val="hybridMultilevel"/>
    <w:tmpl w:val="5FC0B902"/>
    <w:lvl w:ilvl="0" w:tplc="0A025AEA">
      <w:start w:val="1"/>
      <w:numFmt w:val="decimal"/>
      <w:lvlText w:val="%1."/>
      <w:lvlJc w:val="left"/>
      <w:pPr>
        <w:ind w:left="959" w:hanging="360"/>
      </w:pPr>
      <w:rPr>
        <w:rFonts w:ascii="Calibri" w:eastAsia="Calibri" w:hAnsi="Calibri" w:cs="Calibri" w:hint="default"/>
        <w:b w:val="0"/>
        <w:bCs w:val="0"/>
        <w:i w:val="0"/>
        <w:iCs w:val="0"/>
        <w:spacing w:val="-1"/>
        <w:w w:val="99"/>
        <w:sz w:val="20"/>
        <w:szCs w:val="20"/>
        <w:lang w:val="en-US" w:eastAsia="en-US" w:bidi="ar-SA"/>
      </w:rPr>
    </w:lvl>
    <w:lvl w:ilvl="1" w:tplc="217E45E2">
      <w:start w:val="1"/>
      <w:numFmt w:val="lowerLetter"/>
      <w:lvlText w:val="%2."/>
      <w:lvlJc w:val="left"/>
      <w:pPr>
        <w:ind w:left="1679" w:hanging="361"/>
      </w:pPr>
      <w:rPr>
        <w:rFonts w:ascii="Calibri" w:eastAsia="Calibri" w:hAnsi="Calibri" w:cs="Calibri" w:hint="default"/>
        <w:b w:val="0"/>
        <w:bCs w:val="0"/>
        <w:i w:val="0"/>
        <w:iCs w:val="0"/>
        <w:spacing w:val="0"/>
        <w:w w:val="99"/>
        <w:sz w:val="20"/>
        <w:szCs w:val="20"/>
        <w:lang w:val="en-US" w:eastAsia="en-US" w:bidi="ar-SA"/>
      </w:rPr>
    </w:lvl>
    <w:lvl w:ilvl="2" w:tplc="48ECD9CE">
      <w:numFmt w:val="bullet"/>
      <w:lvlText w:val="•"/>
      <w:lvlJc w:val="left"/>
      <w:pPr>
        <w:ind w:left="2773" w:hanging="361"/>
      </w:pPr>
      <w:rPr>
        <w:rFonts w:hint="default"/>
        <w:lang w:val="en-US" w:eastAsia="en-US" w:bidi="ar-SA"/>
      </w:rPr>
    </w:lvl>
    <w:lvl w:ilvl="3" w:tplc="3B7EA280">
      <w:numFmt w:val="bullet"/>
      <w:lvlText w:val="•"/>
      <w:lvlJc w:val="left"/>
      <w:pPr>
        <w:ind w:left="3866" w:hanging="361"/>
      </w:pPr>
      <w:rPr>
        <w:rFonts w:hint="default"/>
        <w:lang w:val="en-US" w:eastAsia="en-US" w:bidi="ar-SA"/>
      </w:rPr>
    </w:lvl>
    <w:lvl w:ilvl="4" w:tplc="ADFAD1B4">
      <w:numFmt w:val="bullet"/>
      <w:lvlText w:val="•"/>
      <w:lvlJc w:val="left"/>
      <w:pPr>
        <w:ind w:left="4960" w:hanging="361"/>
      </w:pPr>
      <w:rPr>
        <w:rFonts w:hint="default"/>
        <w:lang w:val="en-US" w:eastAsia="en-US" w:bidi="ar-SA"/>
      </w:rPr>
    </w:lvl>
    <w:lvl w:ilvl="5" w:tplc="A2449CC8">
      <w:numFmt w:val="bullet"/>
      <w:lvlText w:val="•"/>
      <w:lvlJc w:val="left"/>
      <w:pPr>
        <w:ind w:left="6053" w:hanging="361"/>
      </w:pPr>
      <w:rPr>
        <w:rFonts w:hint="default"/>
        <w:lang w:val="en-US" w:eastAsia="en-US" w:bidi="ar-SA"/>
      </w:rPr>
    </w:lvl>
    <w:lvl w:ilvl="6" w:tplc="1088A1D4">
      <w:numFmt w:val="bullet"/>
      <w:lvlText w:val="•"/>
      <w:lvlJc w:val="left"/>
      <w:pPr>
        <w:ind w:left="7146" w:hanging="361"/>
      </w:pPr>
      <w:rPr>
        <w:rFonts w:hint="default"/>
        <w:lang w:val="en-US" w:eastAsia="en-US" w:bidi="ar-SA"/>
      </w:rPr>
    </w:lvl>
    <w:lvl w:ilvl="7" w:tplc="E386062E">
      <w:numFmt w:val="bullet"/>
      <w:lvlText w:val="•"/>
      <w:lvlJc w:val="left"/>
      <w:pPr>
        <w:ind w:left="8240" w:hanging="361"/>
      </w:pPr>
      <w:rPr>
        <w:rFonts w:hint="default"/>
        <w:lang w:val="en-US" w:eastAsia="en-US" w:bidi="ar-SA"/>
      </w:rPr>
    </w:lvl>
    <w:lvl w:ilvl="8" w:tplc="92E26004">
      <w:numFmt w:val="bullet"/>
      <w:lvlText w:val="•"/>
      <w:lvlJc w:val="left"/>
      <w:pPr>
        <w:ind w:left="9333" w:hanging="361"/>
      </w:pPr>
      <w:rPr>
        <w:rFonts w:hint="default"/>
        <w:lang w:val="en-US" w:eastAsia="en-US" w:bidi="ar-SA"/>
      </w:rPr>
    </w:lvl>
  </w:abstractNum>
  <w:abstractNum w:abstractNumId="1" w15:restartNumberingAfterBreak="0">
    <w:nsid w:val="41F06240"/>
    <w:multiLevelType w:val="hybridMultilevel"/>
    <w:tmpl w:val="F50A2A9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15:restartNumberingAfterBreak="0">
    <w:nsid w:val="7FD322E5"/>
    <w:multiLevelType w:val="hybridMultilevel"/>
    <w:tmpl w:val="A20E99CE"/>
    <w:lvl w:ilvl="0" w:tplc="EBA0185E">
      <w:start w:val="1"/>
      <w:numFmt w:val="decimal"/>
      <w:lvlText w:val="%1."/>
      <w:lvlJc w:val="left"/>
      <w:pPr>
        <w:ind w:left="960" w:hanging="360"/>
      </w:pPr>
      <w:rPr>
        <w:rFonts w:ascii="Calibri" w:eastAsia="Calibri" w:hAnsi="Calibri" w:cs="Calibri" w:hint="default"/>
        <w:b w:val="0"/>
        <w:bCs w:val="0"/>
        <w:i w:val="0"/>
        <w:iCs w:val="0"/>
        <w:spacing w:val="-1"/>
        <w:w w:val="99"/>
        <w:sz w:val="20"/>
        <w:szCs w:val="20"/>
        <w:lang w:val="en-US" w:eastAsia="en-US" w:bidi="ar-SA"/>
      </w:rPr>
    </w:lvl>
    <w:lvl w:ilvl="1" w:tplc="1FCE7E0C">
      <w:numFmt w:val="bullet"/>
      <w:lvlText w:val="•"/>
      <w:lvlJc w:val="left"/>
      <w:pPr>
        <w:ind w:left="2016" w:hanging="360"/>
      </w:pPr>
      <w:rPr>
        <w:rFonts w:hint="default"/>
        <w:lang w:val="en-US" w:eastAsia="en-US" w:bidi="ar-SA"/>
      </w:rPr>
    </w:lvl>
    <w:lvl w:ilvl="2" w:tplc="FBDCB744">
      <w:numFmt w:val="bullet"/>
      <w:lvlText w:val="•"/>
      <w:lvlJc w:val="left"/>
      <w:pPr>
        <w:ind w:left="3072" w:hanging="360"/>
      </w:pPr>
      <w:rPr>
        <w:rFonts w:hint="default"/>
        <w:lang w:val="en-US" w:eastAsia="en-US" w:bidi="ar-SA"/>
      </w:rPr>
    </w:lvl>
    <w:lvl w:ilvl="3" w:tplc="559CBDA4">
      <w:numFmt w:val="bullet"/>
      <w:lvlText w:val="•"/>
      <w:lvlJc w:val="left"/>
      <w:pPr>
        <w:ind w:left="4128" w:hanging="360"/>
      </w:pPr>
      <w:rPr>
        <w:rFonts w:hint="default"/>
        <w:lang w:val="en-US" w:eastAsia="en-US" w:bidi="ar-SA"/>
      </w:rPr>
    </w:lvl>
    <w:lvl w:ilvl="4" w:tplc="EE609F20">
      <w:numFmt w:val="bullet"/>
      <w:lvlText w:val="•"/>
      <w:lvlJc w:val="left"/>
      <w:pPr>
        <w:ind w:left="5184" w:hanging="360"/>
      </w:pPr>
      <w:rPr>
        <w:rFonts w:hint="default"/>
        <w:lang w:val="en-US" w:eastAsia="en-US" w:bidi="ar-SA"/>
      </w:rPr>
    </w:lvl>
    <w:lvl w:ilvl="5" w:tplc="32E87E1C">
      <w:numFmt w:val="bullet"/>
      <w:lvlText w:val="•"/>
      <w:lvlJc w:val="left"/>
      <w:pPr>
        <w:ind w:left="6240" w:hanging="360"/>
      </w:pPr>
      <w:rPr>
        <w:rFonts w:hint="default"/>
        <w:lang w:val="en-US" w:eastAsia="en-US" w:bidi="ar-SA"/>
      </w:rPr>
    </w:lvl>
    <w:lvl w:ilvl="6" w:tplc="98521B50">
      <w:numFmt w:val="bullet"/>
      <w:lvlText w:val="•"/>
      <w:lvlJc w:val="left"/>
      <w:pPr>
        <w:ind w:left="7296" w:hanging="360"/>
      </w:pPr>
      <w:rPr>
        <w:rFonts w:hint="default"/>
        <w:lang w:val="en-US" w:eastAsia="en-US" w:bidi="ar-SA"/>
      </w:rPr>
    </w:lvl>
    <w:lvl w:ilvl="7" w:tplc="4C42F3CC">
      <w:numFmt w:val="bullet"/>
      <w:lvlText w:val="•"/>
      <w:lvlJc w:val="left"/>
      <w:pPr>
        <w:ind w:left="8352" w:hanging="360"/>
      </w:pPr>
      <w:rPr>
        <w:rFonts w:hint="default"/>
        <w:lang w:val="en-US" w:eastAsia="en-US" w:bidi="ar-SA"/>
      </w:rPr>
    </w:lvl>
    <w:lvl w:ilvl="8" w:tplc="9FCC07AA">
      <w:numFmt w:val="bullet"/>
      <w:lvlText w:val="•"/>
      <w:lvlJc w:val="left"/>
      <w:pPr>
        <w:ind w:left="9408" w:hanging="360"/>
      </w:pPr>
      <w:rPr>
        <w:rFonts w:hint="default"/>
        <w:lang w:val="en-US" w:eastAsia="en-US" w:bidi="ar-SA"/>
      </w:rPr>
    </w:lvl>
  </w:abstractNum>
  <w:num w:numId="1" w16cid:durableId="174850705">
    <w:abstractNumId w:val="0"/>
  </w:num>
  <w:num w:numId="2" w16cid:durableId="105658283">
    <w:abstractNumId w:val="2"/>
  </w:num>
  <w:num w:numId="3" w16cid:durableId="1389188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A5F"/>
    <w:rsid w:val="000670BF"/>
    <w:rsid w:val="00154DE6"/>
    <w:rsid w:val="00194FB2"/>
    <w:rsid w:val="002C1FC9"/>
    <w:rsid w:val="003A5F30"/>
    <w:rsid w:val="003D35B3"/>
    <w:rsid w:val="00462CF9"/>
    <w:rsid w:val="004B1AB9"/>
    <w:rsid w:val="00536420"/>
    <w:rsid w:val="006214B7"/>
    <w:rsid w:val="007845AD"/>
    <w:rsid w:val="00844ADD"/>
    <w:rsid w:val="009D298D"/>
    <w:rsid w:val="009E1488"/>
    <w:rsid w:val="009F575F"/>
    <w:rsid w:val="00A81505"/>
    <w:rsid w:val="00CF173E"/>
    <w:rsid w:val="00D5151B"/>
    <w:rsid w:val="00D5525B"/>
    <w:rsid w:val="00D71A5F"/>
    <w:rsid w:val="00DB57BB"/>
    <w:rsid w:val="00ED68E4"/>
    <w:rsid w:val="00F42EFC"/>
    <w:rsid w:val="00FA3F05"/>
    <w:rsid w:val="00FF2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A7D8A"/>
  <w15:docId w15:val="{3DF2C25D-2061-4F9B-BC86-8B81E5D0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913" w:right="3317"/>
      <w:jc w:val="center"/>
      <w:outlineLvl w:val="0"/>
    </w:pPr>
    <w:rPr>
      <w:b/>
      <w:bCs/>
      <w:sz w:val="28"/>
      <w:szCs w:val="28"/>
    </w:rPr>
  </w:style>
  <w:style w:type="paragraph" w:styleId="Heading2">
    <w:name w:val="heading 2"/>
    <w:basedOn w:val="Normal"/>
    <w:uiPriority w:val="9"/>
    <w:unhideWhenUsed/>
    <w:qFormat/>
    <w:pPr>
      <w:ind w:left="2088"/>
      <w:outlineLvl w:val="1"/>
    </w:pPr>
    <w:rPr>
      <w:rFonts w:ascii="Times New Roman" w:eastAsia="Times New Roman" w:hAnsi="Times New Roman" w:cs="Times New Roman"/>
      <w:b/>
      <w:bCs/>
      <w:sz w:val="26"/>
      <w:szCs w:val="26"/>
    </w:rPr>
  </w:style>
  <w:style w:type="paragraph" w:styleId="Heading3">
    <w:name w:val="heading 3"/>
    <w:basedOn w:val="Normal"/>
    <w:uiPriority w:val="9"/>
    <w:unhideWhenUsed/>
    <w:qFormat/>
    <w:pPr>
      <w:ind w:left="240"/>
      <w:outlineLvl w:val="2"/>
    </w:pPr>
    <w:rPr>
      <w:b/>
      <w:bCs/>
    </w:rPr>
  </w:style>
  <w:style w:type="paragraph" w:styleId="Heading4">
    <w:name w:val="heading 4"/>
    <w:basedOn w:val="Normal"/>
    <w:uiPriority w:val="9"/>
    <w:unhideWhenUsed/>
    <w:qFormat/>
    <w:pPr>
      <w:ind w:left="240" w:right="265"/>
      <w:outlineLvl w:val="3"/>
    </w:pPr>
    <w:rPr>
      <w:rFonts w:ascii="Times New Roman" w:eastAsia="Times New Roman" w:hAnsi="Times New Roman" w:cs="Times New Roman"/>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59" w:hanging="360"/>
    </w:pPr>
  </w:style>
  <w:style w:type="paragraph" w:customStyle="1" w:styleId="TableParagraph">
    <w:name w:val="Table Paragraph"/>
    <w:basedOn w:val="Normal"/>
    <w:uiPriority w:val="1"/>
    <w:qFormat/>
    <w:pPr>
      <w:ind w:left="112"/>
    </w:pPr>
    <w:rPr>
      <w:rFonts w:ascii="Times New Roman" w:eastAsia="Times New Roman" w:hAnsi="Times New Roman" w:cs="Times New Roman"/>
    </w:rPr>
  </w:style>
  <w:style w:type="character" w:styleId="Hyperlink">
    <w:name w:val="Hyperlink"/>
    <w:basedOn w:val="DefaultParagraphFont"/>
    <w:uiPriority w:val="99"/>
    <w:unhideWhenUsed/>
    <w:rsid w:val="00CF173E"/>
    <w:rPr>
      <w:color w:val="0000FF" w:themeColor="hyperlink"/>
      <w:u w:val="single"/>
    </w:rPr>
  </w:style>
  <w:style w:type="character" w:styleId="UnresolvedMention">
    <w:name w:val="Unresolved Mention"/>
    <w:basedOn w:val="DefaultParagraphFont"/>
    <w:uiPriority w:val="99"/>
    <w:semiHidden/>
    <w:unhideWhenUsed/>
    <w:rsid w:val="00CF173E"/>
    <w:rPr>
      <w:color w:val="605E5C"/>
      <w:shd w:val="clear" w:color="auto" w:fill="E1DFDD"/>
    </w:rPr>
  </w:style>
  <w:style w:type="paragraph" w:styleId="Header">
    <w:name w:val="header"/>
    <w:basedOn w:val="Normal"/>
    <w:link w:val="HeaderChar"/>
    <w:uiPriority w:val="99"/>
    <w:unhideWhenUsed/>
    <w:rsid w:val="00844ADD"/>
    <w:pPr>
      <w:tabs>
        <w:tab w:val="center" w:pos="4680"/>
        <w:tab w:val="right" w:pos="9360"/>
      </w:tabs>
    </w:pPr>
  </w:style>
  <w:style w:type="character" w:customStyle="1" w:styleId="HeaderChar">
    <w:name w:val="Header Char"/>
    <w:basedOn w:val="DefaultParagraphFont"/>
    <w:link w:val="Header"/>
    <w:uiPriority w:val="99"/>
    <w:rsid w:val="00844ADD"/>
    <w:rPr>
      <w:rFonts w:ascii="Calibri" w:eastAsia="Calibri" w:hAnsi="Calibri" w:cs="Calibri"/>
    </w:rPr>
  </w:style>
  <w:style w:type="paragraph" w:styleId="Footer">
    <w:name w:val="footer"/>
    <w:basedOn w:val="Normal"/>
    <w:link w:val="FooterChar"/>
    <w:uiPriority w:val="99"/>
    <w:unhideWhenUsed/>
    <w:rsid w:val="00844ADD"/>
    <w:pPr>
      <w:tabs>
        <w:tab w:val="center" w:pos="4680"/>
        <w:tab w:val="right" w:pos="9360"/>
      </w:tabs>
    </w:pPr>
  </w:style>
  <w:style w:type="character" w:customStyle="1" w:styleId="FooterChar">
    <w:name w:val="Footer Char"/>
    <w:basedOn w:val="DefaultParagraphFont"/>
    <w:link w:val="Footer"/>
    <w:uiPriority w:val="99"/>
    <w:rsid w:val="00844ADD"/>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514</Words>
  <Characters>2920</Characters>
  <Application>Microsoft Office Word</Application>
  <DocSecurity>0</DocSecurity>
  <Lines>74</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Nicole Hilger</cp:lastModifiedBy>
  <cp:revision>2</cp:revision>
  <cp:lastPrinted>2026-07-06T18:12:00Z</cp:lastPrinted>
  <dcterms:created xsi:type="dcterms:W3CDTF">2026-07-30T23:16:00Z</dcterms:created>
  <dcterms:modified xsi:type="dcterms:W3CDTF">2026-07-30T23:16:00Z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2025-08-12T00:00:00Z</vt:filetime>
  </property>
  <property fmtid="{D5CDD505-2E9C-101B-9397-08002B2CF9AE}" pid="3" name="Creator">
    <vt:lpwstr>Acrobat PDFMaker 25 for Word</vt:lpwstr>
  </property>
  <property fmtid="{D5CDD505-2E9C-101B-9397-08002B2CF9AE}" pid="4" name="LastSaved">
    <vt:filetime>2026-07-06T00:00:00Z</vt:filetime>
  </property>
  <property fmtid="{D5CDD505-2E9C-101B-9397-08002B2CF9AE}" pid="5" name="Producer">
    <vt:lpwstr>Adobe PDF Library 25.1.97</vt:lpwstr>
  </property>
  <property fmtid="{D5CDD505-2E9C-101B-9397-08002B2CF9AE}" pid="6" name="SourceModified">
    <vt:lpwstr>D:20250812181322</vt:lpwstr>
  </property>
</Properties>
</file>