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6"/>
        <w:gridCol w:w="7994"/>
      </w:tblGrid>
      <w:tr w:rsidR="004E2EAD" w:rsidRPr="00CE2517" w14:paraId="0C13BC84" w14:textId="77777777" w:rsidTr="004E2EAD">
        <w:tc>
          <w:tcPr>
            <w:tcW w:w="2806" w:type="dxa"/>
          </w:tcPr>
          <w:p w14:paraId="2C3D2617" w14:textId="7A7A9238" w:rsidR="004E2EAD" w:rsidRPr="00CE2517" w:rsidRDefault="004E2EAD" w:rsidP="00165D2A">
            <w:pPr>
              <w:jc w:val="right"/>
              <w:rPr>
                <w:sz w:val="36"/>
                <w:szCs w:val="36"/>
              </w:rPr>
            </w:pPr>
            <w:r w:rsidRPr="000F3215">
              <w:rPr>
                <w:b/>
                <w:noProof/>
                <w:sz w:val="32"/>
              </w:rPr>
              <w:drawing>
                <wp:inline distT="0" distB="0" distL="0" distR="0" wp14:anchorId="4B485CDD" wp14:editId="321F6121">
                  <wp:extent cx="1644650" cy="494156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924" cy="50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4" w:type="dxa"/>
          </w:tcPr>
          <w:p w14:paraId="585D3DAB" w14:textId="5B8F870F" w:rsidR="004E2EAD" w:rsidRPr="004E2EAD" w:rsidRDefault="004E2EAD" w:rsidP="00165D2A">
            <w:pPr>
              <w:jc w:val="right"/>
              <w:rPr>
                <w:b/>
                <w:noProof/>
                <w:sz w:val="34"/>
                <w:szCs w:val="34"/>
              </w:rPr>
            </w:pPr>
            <w:r w:rsidRPr="004E2EAD">
              <w:rPr>
                <w:sz w:val="34"/>
                <w:szCs w:val="34"/>
              </w:rPr>
              <w:t>Sabbatical and Difference in Pay (DIP) Leaves Schedule</w:t>
            </w:r>
          </w:p>
        </w:tc>
      </w:tr>
    </w:tbl>
    <w:p w14:paraId="333ADDF6" w14:textId="0FA87E10" w:rsidR="00582A1F" w:rsidRDefault="00D76E2E" w:rsidP="00B62403">
      <w:pPr>
        <w:spacing w:after="0" w:line="240" w:lineRule="auto"/>
        <w:jc w:val="center"/>
        <w:rPr>
          <w:i/>
          <w:sz w:val="20"/>
          <w:szCs w:val="20"/>
        </w:rPr>
      </w:pPr>
      <w:r w:rsidRPr="00B62403">
        <w:rPr>
          <w:sz w:val="32"/>
          <w:szCs w:val="20"/>
        </w:rPr>
        <w:br/>
      </w:r>
    </w:p>
    <w:tbl>
      <w:tblPr>
        <w:tblStyle w:val="TableGrid"/>
        <w:tblW w:w="10714" w:type="dxa"/>
        <w:tblLook w:val="04A0" w:firstRow="1" w:lastRow="0" w:firstColumn="1" w:lastColumn="0" w:noHBand="0" w:noVBand="1"/>
      </w:tblPr>
      <w:tblGrid>
        <w:gridCol w:w="8363"/>
        <w:gridCol w:w="2351"/>
      </w:tblGrid>
      <w:tr w:rsidR="0002541C" w:rsidRPr="00293869" w14:paraId="67303F2A" w14:textId="77777777" w:rsidTr="00293869">
        <w:trPr>
          <w:trHeight w:val="612"/>
        </w:trPr>
        <w:tc>
          <w:tcPr>
            <w:tcW w:w="10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1F424" w14:textId="45B3AE52" w:rsidR="002F6E3A" w:rsidRDefault="0002541C" w:rsidP="00583525">
            <w:pPr>
              <w:jc w:val="center"/>
              <w:rPr>
                <w:b/>
              </w:rPr>
            </w:pPr>
            <w:r w:rsidRPr="00293869">
              <w:rPr>
                <w:b/>
              </w:rPr>
              <w:t>SABBATICAL LEAVES</w:t>
            </w:r>
          </w:p>
          <w:p w14:paraId="19334C25" w14:textId="77777777" w:rsidR="004E2EAD" w:rsidRPr="004E2EAD" w:rsidRDefault="004E2EAD" w:rsidP="00583525">
            <w:pPr>
              <w:jc w:val="center"/>
              <w:rPr>
                <w:b/>
                <w:sz w:val="10"/>
                <w:szCs w:val="10"/>
              </w:rPr>
            </w:pPr>
          </w:p>
          <w:p w14:paraId="6CDFF7BF" w14:textId="2DA74233" w:rsidR="0002541C" w:rsidRPr="00293869" w:rsidRDefault="00A34CBB" w:rsidP="002F6E3A">
            <w:pPr>
              <w:jc w:val="center"/>
              <w:rPr>
                <w:i/>
              </w:rPr>
            </w:pPr>
            <w:hyperlink r:id="rId8" w:history="1">
              <w:r w:rsidR="002F6E3A" w:rsidRPr="00293869">
                <w:rPr>
                  <w:rStyle w:val="Hyperlink"/>
                </w:rPr>
                <w:t>Sabbatical Leave University Policy</w:t>
              </w:r>
            </w:hyperlink>
            <w:r w:rsidR="002F6E3A" w:rsidRPr="00293869">
              <w:t xml:space="preserve">             </w:t>
            </w:r>
            <w:hyperlink r:id="rId9" w:history="1">
              <w:r w:rsidR="002F6E3A" w:rsidRPr="00293869">
                <w:rPr>
                  <w:rStyle w:val="Hyperlink"/>
                </w:rPr>
                <w:t>Sabbatical Leave CBA Article 27</w:t>
              </w:r>
            </w:hyperlink>
          </w:p>
        </w:tc>
      </w:tr>
      <w:tr w:rsidR="00330EB5" w:rsidRPr="00293869" w14:paraId="22F96C34" w14:textId="77777777" w:rsidTr="004E2EAD">
        <w:trPr>
          <w:trHeight w:val="458"/>
        </w:trPr>
        <w:tc>
          <w:tcPr>
            <w:tcW w:w="8363" w:type="dxa"/>
            <w:tcBorders>
              <w:top w:val="single" w:sz="4" w:space="0" w:color="auto"/>
            </w:tcBorders>
          </w:tcPr>
          <w:p w14:paraId="40F413F0" w14:textId="77777777" w:rsidR="00330EB5" w:rsidRPr="00293869" w:rsidRDefault="00330EB5">
            <w:r w:rsidRPr="00293869">
              <w:t>Faculty are notified of eligibility</w:t>
            </w:r>
            <w:r w:rsidR="0002541C" w:rsidRPr="00293869">
              <w:t xml:space="preserve"> by:</w:t>
            </w:r>
          </w:p>
        </w:tc>
        <w:tc>
          <w:tcPr>
            <w:tcW w:w="235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EADA451" w14:textId="77777777" w:rsidR="009C49B9" w:rsidRPr="00293869" w:rsidRDefault="00330EB5" w:rsidP="00583525">
            <w:pPr>
              <w:jc w:val="center"/>
              <w:rPr>
                <w:i/>
              </w:rPr>
            </w:pPr>
            <w:r w:rsidRPr="00293869">
              <w:rPr>
                <w:i/>
              </w:rPr>
              <w:t>Last day of the</w:t>
            </w:r>
          </w:p>
          <w:p w14:paraId="1685B83B" w14:textId="77777777" w:rsidR="00330EB5" w:rsidRPr="00293869" w:rsidRDefault="00330EB5" w:rsidP="00583525">
            <w:pPr>
              <w:jc w:val="center"/>
              <w:rPr>
                <w:i/>
              </w:rPr>
            </w:pPr>
            <w:r w:rsidRPr="00293869">
              <w:rPr>
                <w:i/>
              </w:rPr>
              <w:t xml:space="preserve"> spring semester</w:t>
            </w:r>
          </w:p>
        </w:tc>
      </w:tr>
      <w:tr w:rsidR="00330EB5" w:rsidRPr="00293869" w14:paraId="65540B4B" w14:textId="77777777" w:rsidTr="004E2EAD">
        <w:trPr>
          <w:trHeight w:val="557"/>
        </w:trPr>
        <w:tc>
          <w:tcPr>
            <w:tcW w:w="8363" w:type="dxa"/>
          </w:tcPr>
          <w:p w14:paraId="55B8C647" w14:textId="77777777" w:rsidR="00330EB5" w:rsidRPr="00293869" w:rsidRDefault="00583525" w:rsidP="00583525">
            <w:pPr>
              <w:rPr>
                <w:b/>
              </w:rPr>
            </w:pPr>
            <w:r w:rsidRPr="00293869">
              <w:t>Applicant submits completed application packet to Faculty Affairs</w:t>
            </w:r>
            <w:r w:rsidR="00B62403" w:rsidRPr="00293869">
              <w:t xml:space="preserve"> </w:t>
            </w:r>
            <w:r w:rsidRPr="00293869">
              <w:t>by:</w:t>
            </w:r>
            <w:r w:rsidR="0002541C" w:rsidRPr="00293869">
              <w:rPr>
                <w:b/>
              </w:rPr>
              <w:t xml:space="preserve"> </w:t>
            </w:r>
            <w:r w:rsidR="00D76E2E" w:rsidRPr="00293869">
              <w:rPr>
                <w:b/>
              </w:rPr>
              <w:br/>
            </w:r>
            <w:r w:rsidR="00D76E2E" w:rsidRPr="00293869">
              <w:rPr>
                <w:i/>
              </w:rPr>
              <w:t>Late applications will not be accepted.</w:t>
            </w:r>
          </w:p>
        </w:tc>
        <w:tc>
          <w:tcPr>
            <w:tcW w:w="2351" w:type="dxa"/>
            <w:shd w:val="clear" w:color="auto" w:fill="BFBFBF" w:themeFill="background1" w:themeFillShade="BF"/>
          </w:tcPr>
          <w:p w14:paraId="2C9B8542" w14:textId="77777777" w:rsidR="00330EB5" w:rsidRPr="00293869" w:rsidRDefault="00330EB5" w:rsidP="00582A1F">
            <w:pPr>
              <w:jc w:val="center"/>
              <w:rPr>
                <w:i/>
              </w:rPr>
            </w:pPr>
            <w:r w:rsidRPr="00293869">
              <w:rPr>
                <w:i/>
              </w:rPr>
              <w:t>September 15</w:t>
            </w:r>
            <w:r w:rsidR="000C674F" w:rsidRPr="00293869">
              <w:rPr>
                <w:i/>
                <w:vertAlign w:val="superscript"/>
              </w:rPr>
              <w:t>th</w:t>
            </w:r>
            <w:r w:rsidR="000C674F" w:rsidRPr="00293869">
              <w:rPr>
                <w:i/>
              </w:rPr>
              <w:t xml:space="preserve"> </w:t>
            </w:r>
          </w:p>
        </w:tc>
      </w:tr>
      <w:tr w:rsidR="006376E0" w:rsidRPr="00293869" w14:paraId="63A51426" w14:textId="77777777" w:rsidTr="004E2EAD">
        <w:trPr>
          <w:trHeight w:val="368"/>
        </w:trPr>
        <w:tc>
          <w:tcPr>
            <w:tcW w:w="8363" w:type="dxa"/>
          </w:tcPr>
          <w:p w14:paraId="64421FAD" w14:textId="77777777" w:rsidR="0002541C" w:rsidRPr="00293869" w:rsidRDefault="006376E0" w:rsidP="009C49B9">
            <w:r w:rsidRPr="00293869">
              <w:t xml:space="preserve">Faculty Affairs forwards applications to the department chair and to URTP by: </w:t>
            </w:r>
          </w:p>
        </w:tc>
        <w:tc>
          <w:tcPr>
            <w:tcW w:w="2351" w:type="dxa"/>
            <w:shd w:val="clear" w:color="auto" w:fill="BFBFBF" w:themeFill="background1" w:themeFillShade="BF"/>
          </w:tcPr>
          <w:p w14:paraId="57C60B1C" w14:textId="77777777" w:rsidR="006376E0" w:rsidRPr="00293869" w:rsidRDefault="006376E0" w:rsidP="009C49B9">
            <w:pPr>
              <w:jc w:val="center"/>
              <w:rPr>
                <w:i/>
              </w:rPr>
            </w:pPr>
            <w:r w:rsidRPr="00293869">
              <w:rPr>
                <w:i/>
              </w:rPr>
              <w:t>October 1</w:t>
            </w:r>
            <w:r w:rsidR="000C674F" w:rsidRPr="00293869">
              <w:rPr>
                <w:i/>
                <w:vertAlign w:val="superscript"/>
              </w:rPr>
              <w:t>st</w:t>
            </w:r>
            <w:r w:rsidR="000C674F" w:rsidRPr="00293869">
              <w:rPr>
                <w:i/>
              </w:rPr>
              <w:t xml:space="preserve"> </w:t>
            </w:r>
          </w:p>
        </w:tc>
      </w:tr>
      <w:tr w:rsidR="006376E0" w:rsidRPr="00293869" w14:paraId="3A4AE291" w14:textId="77777777" w:rsidTr="004E2EAD">
        <w:trPr>
          <w:trHeight w:val="1340"/>
        </w:trPr>
        <w:tc>
          <w:tcPr>
            <w:tcW w:w="8363" w:type="dxa"/>
          </w:tcPr>
          <w:p w14:paraId="4F02F3FC" w14:textId="77777777" w:rsidR="006376E0" w:rsidRPr="00293869" w:rsidRDefault="006376E0" w:rsidP="00583525">
            <w:r w:rsidRPr="00293869">
              <w:t>Department chair</w:t>
            </w:r>
            <w:r w:rsidR="009C49B9" w:rsidRPr="00293869">
              <w:t xml:space="preserve"> forwards </w:t>
            </w:r>
            <w:r w:rsidRPr="00293869">
              <w:t>input on the impact to the depar</w:t>
            </w:r>
            <w:r w:rsidR="009C49B9" w:rsidRPr="00293869">
              <w:t xml:space="preserve">tment curriculum and operation </w:t>
            </w:r>
            <w:r w:rsidRPr="00293869">
              <w:t xml:space="preserve">to the dean by: </w:t>
            </w:r>
          </w:p>
          <w:p w14:paraId="3F56DFE4" w14:textId="77777777" w:rsidR="006376E0" w:rsidRPr="00AE2346" w:rsidRDefault="006376E0" w:rsidP="00583525">
            <w:pPr>
              <w:rPr>
                <w:sz w:val="16"/>
                <w:szCs w:val="16"/>
              </w:rPr>
            </w:pPr>
          </w:p>
          <w:p w14:paraId="02D80366" w14:textId="77777777" w:rsidR="006376E0" w:rsidRPr="00293869" w:rsidRDefault="006376E0" w:rsidP="009C49B9">
            <w:r w:rsidRPr="00293869">
              <w:t>URTP</w:t>
            </w:r>
            <w:r w:rsidR="009C49B9" w:rsidRPr="00293869">
              <w:t xml:space="preserve"> reviews applications for quality, indicate</w:t>
            </w:r>
            <w:r w:rsidR="00170E26" w:rsidRPr="00293869">
              <w:t>s</w:t>
            </w:r>
            <w:r w:rsidR="009C49B9" w:rsidRPr="00293869">
              <w:t xml:space="preserve"> recommendation and forwards to the dean along with a school ranked list; additionally, sends a ranked list to the </w:t>
            </w:r>
            <w:proofErr w:type="gramStart"/>
            <w:r w:rsidR="009C49B9" w:rsidRPr="00293869">
              <w:t>Pr</w:t>
            </w:r>
            <w:r w:rsidR="00B62403" w:rsidRPr="00293869">
              <w:t>ovost</w:t>
            </w:r>
            <w:proofErr w:type="gramEnd"/>
            <w:r w:rsidR="009C49B9" w:rsidRPr="00293869">
              <w:t xml:space="preserve"> by:</w:t>
            </w:r>
            <w:r w:rsidRPr="00293869">
              <w:t xml:space="preserve"> </w:t>
            </w:r>
          </w:p>
        </w:tc>
        <w:tc>
          <w:tcPr>
            <w:tcW w:w="2351" w:type="dxa"/>
            <w:shd w:val="clear" w:color="auto" w:fill="BFBFBF" w:themeFill="background1" w:themeFillShade="BF"/>
          </w:tcPr>
          <w:p w14:paraId="3407242A" w14:textId="77777777" w:rsidR="006376E0" w:rsidRPr="00293869" w:rsidRDefault="006376E0" w:rsidP="00583525">
            <w:pPr>
              <w:jc w:val="center"/>
              <w:rPr>
                <w:i/>
              </w:rPr>
            </w:pPr>
          </w:p>
          <w:p w14:paraId="11033D60" w14:textId="77777777" w:rsidR="006376E0" w:rsidRPr="00293869" w:rsidRDefault="006376E0" w:rsidP="00583525">
            <w:pPr>
              <w:jc w:val="center"/>
              <w:rPr>
                <w:i/>
              </w:rPr>
            </w:pPr>
          </w:p>
          <w:p w14:paraId="44563563" w14:textId="77777777" w:rsidR="006376E0" w:rsidRPr="00293869" w:rsidRDefault="006376E0" w:rsidP="00170E26">
            <w:pPr>
              <w:jc w:val="center"/>
              <w:rPr>
                <w:i/>
              </w:rPr>
            </w:pPr>
            <w:r w:rsidRPr="00293869">
              <w:rPr>
                <w:i/>
              </w:rPr>
              <w:t>November 1</w:t>
            </w:r>
            <w:r w:rsidR="000C674F" w:rsidRPr="00293869">
              <w:rPr>
                <w:i/>
                <w:vertAlign w:val="superscript"/>
              </w:rPr>
              <w:t>st</w:t>
            </w:r>
            <w:r w:rsidR="000C674F" w:rsidRPr="00293869">
              <w:rPr>
                <w:i/>
              </w:rPr>
              <w:t xml:space="preserve"> </w:t>
            </w:r>
          </w:p>
        </w:tc>
      </w:tr>
      <w:tr w:rsidR="006376E0" w:rsidRPr="00293869" w14:paraId="43C5F0C5" w14:textId="77777777" w:rsidTr="004E2EAD">
        <w:trPr>
          <w:trHeight w:val="620"/>
        </w:trPr>
        <w:tc>
          <w:tcPr>
            <w:tcW w:w="8363" w:type="dxa"/>
          </w:tcPr>
          <w:p w14:paraId="65E2B914" w14:textId="77777777" w:rsidR="006376E0" w:rsidRPr="00293869" w:rsidRDefault="006376E0" w:rsidP="00170E26">
            <w:r w:rsidRPr="00293869">
              <w:t xml:space="preserve">The dean </w:t>
            </w:r>
            <w:r w:rsidR="00170E26" w:rsidRPr="00293869">
              <w:t>considers</w:t>
            </w:r>
            <w:r w:rsidRPr="00293869">
              <w:t xml:space="preserve"> input on school program needs and budget</w:t>
            </w:r>
            <w:r w:rsidR="00FA767C" w:rsidRPr="00293869">
              <w:t>,</w:t>
            </w:r>
            <w:r w:rsidR="007047B9" w:rsidRPr="00293869">
              <w:t xml:space="preserve"> </w:t>
            </w:r>
            <w:r w:rsidR="00170E26" w:rsidRPr="00293869">
              <w:t>indicates recommendation</w:t>
            </w:r>
            <w:r w:rsidRPr="00293869">
              <w:t xml:space="preserve"> and forwards to Faculty Affairs by:</w:t>
            </w:r>
          </w:p>
        </w:tc>
        <w:tc>
          <w:tcPr>
            <w:tcW w:w="2351" w:type="dxa"/>
            <w:shd w:val="clear" w:color="auto" w:fill="BFBFBF" w:themeFill="background1" w:themeFillShade="BF"/>
          </w:tcPr>
          <w:p w14:paraId="45E31D64" w14:textId="77777777" w:rsidR="002F6E3A" w:rsidRPr="00293869" w:rsidRDefault="002F6E3A" w:rsidP="00583525">
            <w:pPr>
              <w:jc w:val="center"/>
              <w:rPr>
                <w:i/>
              </w:rPr>
            </w:pPr>
          </w:p>
          <w:p w14:paraId="34EB5919" w14:textId="7CB1C73E" w:rsidR="006376E0" w:rsidRPr="00293869" w:rsidRDefault="00CE2517" w:rsidP="00583525">
            <w:pPr>
              <w:jc w:val="center"/>
              <w:rPr>
                <w:i/>
              </w:rPr>
            </w:pPr>
            <w:r>
              <w:rPr>
                <w:i/>
              </w:rPr>
              <w:t>December 1</w:t>
            </w:r>
            <w:r w:rsidRPr="00CE2517">
              <w:rPr>
                <w:i/>
                <w:vertAlign w:val="superscript"/>
              </w:rPr>
              <w:t>st</w:t>
            </w:r>
            <w:r>
              <w:rPr>
                <w:i/>
              </w:rPr>
              <w:t xml:space="preserve"> </w:t>
            </w:r>
          </w:p>
        </w:tc>
      </w:tr>
      <w:tr w:rsidR="00330EB5" w:rsidRPr="00293869" w14:paraId="57E87702" w14:textId="77777777" w:rsidTr="004E2EAD">
        <w:trPr>
          <w:trHeight w:val="872"/>
        </w:trPr>
        <w:tc>
          <w:tcPr>
            <w:tcW w:w="8363" w:type="dxa"/>
          </w:tcPr>
          <w:p w14:paraId="1BB2837F" w14:textId="77777777" w:rsidR="00330EB5" w:rsidRPr="00293869" w:rsidRDefault="00330EB5" w:rsidP="006A18C4">
            <w:r w:rsidRPr="00293869">
              <w:t xml:space="preserve">The </w:t>
            </w:r>
            <w:proofErr w:type="gramStart"/>
            <w:r w:rsidRPr="00293869">
              <w:t>P</w:t>
            </w:r>
            <w:r w:rsidR="00B62403" w:rsidRPr="00293869">
              <w:t>rovost</w:t>
            </w:r>
            <w:proofErr w:type="gramEnd"/>
            <w:r w:rsidRPr="00293869">
              <w:t xml:space="preserve"> makes a final determination based upon all recommendations and URTP ranking. Letters will be sent to the candidates from the Pr</w:t>
            </w:r>
            <w:r w:rsidR="00B62403" w:rsidRPr="00293869">
              <w:t>ovost</w:t>
            </w:r>
            <w:r w:rsidRPr="00293869">
              <w:t xml:space="preserve"> informing them of the status of the</w:t>
            </w:r>
            <w:r w:rsidR="002F6E3A" w:rsidRPr="00293869">
              <w:t>ir request for Sabbatical leave by:</w:t>
            </w:r>
          </w:p>
        </w:tc>
        <w:tc>
          <w:tcPr>
            <w:tcW w:w="2351" w:type="dxa"/>
            <w:shd w:val="clear" w:color="auto" w:fill="BFBFBF" w:themeFill="background1" w:themeFillShade="BF"/>
          </w:tcPr>
          <w:p w14:paraId="2A6B4F04" w14:textId="77777777" w:rsidR="002F6E3A" w:rsidRPr="00293869" w:rsidRDefault="002F6E3A" w:rsidP="00583525">
            <w:pPr>
              <w:jc w:val="center"/>
              <w:rPr>
                <w:i/>
              </w:rPr>
            </w:pPr>
          </w:p>
          <w:p w14:paraId="71C328E9" w14:textId="77777777" w:rsidR="002F6E3A" w:rsidRPr="00293869" w:rsidRDefault="002F6E3A" w:rsidP="00583525">
            <w:pPr>
              <w:jc w:val="center"/>
              <w:rPr>
                <w:i/>
              </w:rPr>
            </w:pPr>
          </w:p>
          <w:p w14:paraId="67057864" w14:textId="2BCD8103" w:rsidR="00330EB5" w:rsidRPr="00293869" w:rsidRDefault="00CE2517" w:rsidP="00583525">
            <w:pPr>
              <w:jc w:val="center"/>
              <w:rPr>
                <w:i/>
              </w:rPr>
            </w:pPr>
            <w:r>
              <w:rPr>
                <w:i/>
              </w:rPr>
              <w:t xml:space="preserve">January </w:t>
            </w:r>
            <w:r w:rsidR="000C674F" w:rsidRPr="00293869">
              <w:rPr>
                <w:i/>
              </w:rPr>
              <w:t>15</w:t>
            </w:r>
            <w:r w:rsidR="000C674F" w:rsidRPr="00293869">
              <w:rPr>
                <w:i/>
                <w:vertAlign w:val="superscript"/>
              </w:rPr>
              <w:t>th</w:t>
            </w:r>
            <w:r w:rsidR="000C674F" w:rsidRPr="00293869">
              <w:rPr>
                <w:i/>
              </w:rPr>
              <w:t xml:space="preserve"> </w:t>
            </w:r>
          </w:p>
        </w:tc>
      </w:tr>
    </w:tbl>
    <w:p w14:paraId="0C2A6A09" w14:textId="549580F1" w:rsidR="00582A1F" w:rsidRDefault="00582A1F" w:rsidP="00360E1A">
      <w:pPr>
        <w:spacing w:after="0" w:line="240" w:lineRule="auto"/>
        <w:rPr>
          <w:i/>
          <w:sz w:val="20"/>
          <w:szCs w:val="20"/>
        </w:rPr>
      </w:pPr>
    </w:p>
    <w:p w14:paraId="5F533814" w14:textId="77777777" w:rsidR="004E2EAD" w:rsidRDefault="004E2EAD" w:rsidP="004E2EAD">
      <w:pPr>
        <w:jc w:val="center"/>
      </w:pPr>
      <w:r>
        <w:rPr>
          <w:i/>
          <w:sz w:val="20"/>
          <w:szCs w:val="20"/>
        </w:rPr>
        <w:t xml:space="preserve">If </w:t>
      </w:r>
      <w:r w:rsidRPr="002F6E3A">
        <w:rPr>
          <w:i/>
          <w:sz w:val="20"/>
          <w:szCs w:val="20"/>
        </w:rPr>
        <w:t>the date falls on a weekend, it will be due the following Monday.</w:t>
      </w:r>
    </w:p>
    <w:tbl>
      <w:tblPr>
        <w:tblStyle w:val="TableGrid"/>
        <w:tblW w:w="10710" w:type="dxa"/>
        <w:tblLook w:val="04A0" w:firstRow="1" w:lastRow="0" w:firstColumn="1" w:lastColumn="0" w:noHBand="0" w:noVBand="1"/>
      </w:tblPr>
      <w:tblGrid>
        <w:gridCol w:w="8442"/>
        <w:gridCol w:w="2178"/>
        <w:gridCol w:w="90"/>
      </w:tblGrid>
      <w:tr w:rsidR="0002541C" w:rsidRPr="00293869" w14:paraId="5A6CD258" w14:textId="77777777" w:rsidTr="004E2EAD">
        <w:trPr>
          <w:gridAfter w:val="1"/>
          <w:wAfter w:w="90" w:type="dxa"/>
          <w:trHeight w:val="657"/>
        </w:trPr>
        <w:tc>
          <w:tcPr>
            <w:tcW w:w="10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D2971" w14:textId="77777777" w:rsidR="004E2EAD" w:rsidRDefault="004E2EAD" w:rsidP="00D1189B">
            <w:pPr>
              <w:jc w:val="center"/>
              <w:rPr>
                <w:b/>
              </w:rPr>
            </w:pPr>
          </w:p>
          <w:p w14:paraId="52329ABC" w14:textId="00C3560D" w:rsidR="0002541C" w:rsidRDefault="0002541C" w:rsidP="00D1189B">
            <w:pPr>
              <w:jc w:val="center"/>
              <w:rPr>
                <w:b/>
              </w:rPr>
            </w:pPr>
            <w:r w:rsidRPr="00293869">
              <w:rPr>
                <w:b/>
              </w:rPr>
              <w:t>DIFFERENCE IN PAY (DIP) LEAVES</w:t>
            </w:r>
          </w:p>
          <w:p w14:paraId="60C8D6DC" w14:textId="77777777" w:rsidR="004E2EAD" w:rsidRPr="004E2EAD" w:rsidRDefault="004E2EAD" w:rsidP="00D1189B">
            <w:pPr>
              <w:jc w:val="center"/>
              <w:rPr>
                <w:b/>
                <w:sz w:val="10"/>
                <w:szCs w:val="10"/>
              </w:rPr>
            </w:pPr>
          </w:p>
          <w:p w14:paraId="7A66F25D" w14:textId="69BA5837" w:rsidR="002F6E3A" w:rsidRPr="00293869" w:rsidRDefault="00A34CBB" w:rsidP="002F6E3A">
            <w:pPr>
              <w:jc w:val="center"/>
              <w:rPr>
                <w:b/>
              </w:rPr>
            </w:pPr>
            <w:hyperlink r:id="rId10" w:history="1">
              <w:r w:rsidR="002F6E3A" w:rsidRPr="00293869">
                <w:rPr>
                  <w:rStyle w:val="Hyperlink"/>
                </w:rPr>
                <w:t>Difference in Pay Leave University Policy</w:t>
              </w:r>
            </w:hyperlink>
            <w:r w:rsidR="002F6E3A" w:rsidRPr="00293869">
              <w:t xml:space="preserve">        </w:t>
            </w:r>
            <w:r w:rsidR="002F6E3A" w:rsidRPr="00293869">
              <w:tab/>
            </w:r>
            <w:hyperlink r:id="rId11" w:history="1">
              <w:r w:rsidR="002F6E3A" w:rsidRPr="00293869">
                <w:rPr>
                  <w:rStyle w:val="Hyperlink"/>
                </w:rPr>
                <w:t>Difference in Pay Leave CBA Article 28</w:t>
              </w:r>
            </w:hyperlink>
          </w:p>
        </w:tc>
      </w:tr>
      <w:tr w:rsidR="00C762EA" w:rsidRPr="00293869" w14:paraId="4A009AC0" w14:textId="77777777" w:rsidTr="004E2EAD">
        <w:trPr>
          <w:trHeight w:val="395"/>
        </w:trPr>
        <w:tc>
          <w:tcPr>
            <w:tcW w:w="8442" w:type="dxa"/>
            <w:tcBorders>
              <w:top w:val="single" w:sz="4" w:space="0" w:color="auto"/>
            </w:tcBorders>
          </w:tcPr>
          <w:p w14:paraId="1BCE5DDA" w14:textId="77777777" w:rsidR="00C762EA" w:rsidRPr="00293869" w:rsidRDefault="00C762EA" w:rsidP="00D1189B">
            <w:r w:rsidRPr="00293869">
              <w:t>Faculty are notified of eligibility by: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6F32C8A" w14:textId="77777777" w:rsidR="00C762EA" w:rsidRPr="00293869" w:rsidRDefault="00C762EA" w:rsidP="002F6E3A">
            <w:pPr>
              <w:jc w:val="center"/>
              <w:rPr>
                <w:i/>
              </w:rPr>
            </w:pPr>
            <w:r w:rsidRPr="00293869">
              <w:rPr>
                <w:i/>
              </w:rPr>
              <w:t xml:space="preserve">Last day of the </w:t>
            </w:r>
            <w:r w:rsidR="008C72C9" w:rsidRPr="00293869">
              <w:rPr>
                <w:i/>
              </w:rPr>
              <w:br/>
            </w:r>
            <w:r w:rsidRPr="00293869">
              <w:rPr>
                <w:i/>
              </w:rPr>
              <w:t>spring semester</w:t>
            </w:r>
          </w:p>
        </w:tc>
      </w:tr>
      <w:tr w:rsidR="00C762EA" w:rsidRPr="00293869" w14:paraId="7278FC28" w14:textId="77777777" w:rsidTr="004E2EAD">
        <w:trPr>
          <w:trHeight w:val="620"/>
        </w:trPr>
        <w:tc>
          <w:tcPr>
            <w:tcW w:w="8442" w:type="dxa"/>
          </w:tcPr>
          <w:p w14:paraId="143D91D1" w14:textId="77777777" w:rsidR="0002541C" w:rsidRPr="00293869" w:rsidRDefault="00C762EA" w:rsidP="00D1189B">
            <w:r w:rsidRPr="00293869">
              <w:t>Applicant submits completed application packet to by:</w:t>
            </w:r>
          </w:p>
          <w:p w14:paraId="190FBF24" w14:textId="77777777" w:rsidR="00D76E2E" w:rsidRPr="00293869" w:rsidRDefault="00D76E2E" w:rsidP="00D1189B">
            <w:r w:rsidRPr="00293869">
              <w:rPr>
                <w:i/>
              </w:rPr>
              <w:t>Late applications will not be accepted.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14:paraId="0C24951C" w14:textId="77777777" w:rsidR="00C762EA" w:rsidRPr="00293869" w:rsidRDefault="00C762EA" w:rsidP="00582A1F">
            <w:pPr>
              <w:jc w:val="center"/>
              <w:rPr>
                <w:i/>
              </w:rPr>
            </w:pPr>
            <w:r w:rsidRPr="00293869">
              <w:rPr>
                <w:i/>
              </w:rPr>
              <w:t>September 15</w:t>
            </w:r>
            <w:r w:rsidR="000C674F" w:rsidRPr="00293869">
              <w:rPr>
                <w:i/>
                <w:vertAlign w:val="superscript"/>
              </w:rPr>
              <w:t>th</w:t>
            </w:r>
            <w:r w:rsidR="000C674F" w:rsidRPr="00293869">
              <w:rPr>
                <w:i/>
              </w:rPr>
              <w:t xml:space="preserve"> </w:t>
            </w:r>
          </w:p>
        </w:tc>
      </w:tr>
      <w:tr w:rsidR="00C762EA" w:rsidRPr="00293869" w14:paraId="14D7F033" w14:textId="77777777" w:rsidTr="004E2EAD">
        <w:trPr>
          <w:trHeight w:val="373"/>
        </w:trPr>
        <w:tc>
          <w:tcPr>
            <w:tcW w:w="8442" w:type="dxa"/>
          </w:tcPr>
          <w:p w14:paraId="266E7216" w14:textId="77777777" w:rsidR="00C762EA" w:rsidRPr="00293869" w:rsidRDefault="00C762EA" w:rsidP="00B853C0">
            <w:r w:rsidRPr="00293869">
              <w:t>Faculty Affairs forwards application packets to the department by: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14:paraId="761B6AAA" w14:textId="77777777" w:rsidR="00C762EA" w:rsidRPr="00293869" w:rsidRDefault="00C762EA" w:rsidP="00D1189B">
            <w:pPr>
              <w:jc w:val="center"/>
              <w:rPr>
                <w:i/>
              </w:rPr>
            </w:pPr>
            <w:r w:rsidRPr="00293869">
              <w:rPr>
                <w:i/>
              </w:rPr>
              <w:t>October 1</w:t>
            </w:r>
            <w:r w:rsidR="000C674F" w:rsidRPr="00293869">
              <w:rPr>
                <w:i/>
                <w:vertAlign w:val="superscript"/>
              </w:rPr>
              <w:t>st</w:t>
            </w:r>
            <w:r w:rsidR="000C674F" w:rsidRPr="00293869">
              <w:rPr>
                <w:i/>
              </w:rPr>
              <w:t xml:space="preserve"> </w:t>
            </w:r>
          </w:p>
        </w:tc>
      </w:tr>
      <w:tr w:rsidR="00BE1AD1" w:rsidRPr="00293869" w14:paraId="2417862D" w14:textId="77777777" w:rsidTr="004E2EAD">
        <w:trPr>
          <w:trHeight w:val="674"/>
        </w:trPr>
        <w:tc>
          <w:tcPr>
            <w:tcW w:w="8442" w:type="dxa"/>
          </w:tcPr>
          <w:p w14:paraId="3B26927E" w14:textId="77777777" w:rsidR="00BE1AD1" w:rsidRPr="00AE2346" w:rsidRDefault="00BE1AD1" w:rsidP="00AE2346">
            <w:pPr>
              <w:pStyle w:val="NoSpacing"/>
            </w:pPr>
            <w:r w:rsidRPr="00AE2346">
              <w:t>Department chair attaches statement o</w:t>
            </w:r>
            <w:r w:rsidR="00FA767C" w:rsidRPr="00AE2346">
              <w:t>f</w:t>
            </w:r>
            <w:r w:rsidRPr="00AE2346">
              <w:t xml:space="preserve"> impact to the department curriculum and operation</w:t>
            </w:r>
            <w:r w:rsidR="00B62403" w:rsidRPr="00AE2346">
              <w:t xml:space="preserve"> </w:t>
            </w:r>
            <w:r w:rsidRPr="00AE2346">
              <w:t>and forwards to the department RTP Committee by: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14:paraId="51CECDEE" w14:textId="77777777" w:rsidR="00BE1AD1" w:rsidRPr="00293869" w:rsidRDefault="00BE1AD1" w:rsidP="00D1189B">
            <w:pPr>
              <w:jc w:val="center"/>
              <w:rPr>
                <w:i/>
              </w:rPr>
            </w:pPr>
          </w:p>
          <w:p w14:paraId="0ABD8803" w14:textId="77777777" w:rsidR="00BE1AD1" w:rsidRPr="00293869" w:rsidRDefault="00BE1AD1" w:rsidP="00D1189B">
            <w:pPr>
              <w:jc w:val="center"/>
              <w:rPr>
                <w:i/>
              </w:rPr>
            </w:pPr>
            <w:r w:rsidRPr="00293869">
              <w:rPr>
                <w:i/>
              </w:rPr>
              <w:t>October 15</w:t>
            </w:r>
            <w:r w:rsidR="000C674F" w:rsidRPr="00293869">
              <w:rPr>
                <w:i/>
                <w:vertAlign w:val="superscript"/>
              </w:rPr>
              <w:t>th</w:t>
            </w:r>
            <w:r w:rsidR="000C674F" w:rsidRPr="00293869">
              <w:rPr>
                <w:i/>
              </w:rPr>
              <w:t xml:space="preserve"> </w:t>
            </w:r>
          </w:p>
        </w:tc>
      </w:tr>
      <w:tr w:rsidR="00C762EA" w:rsidRPr="00293869" w14:paraId="5E2DD0BF" w14:textId="77777777" w:rsidTr="004E2EAD">
        <w:trPr>
          <w:trHeight w:val="620"/>
        </w:trPr>
        <w:tc>
          <w:tcPr>
            <w:tcW w:w="8442" w:type="dxa"/>
          </w:tcPr>
          <w:p w14:paraId="358330D5" w14:textId="77777777" w:rsidR="00C762EA" w:rsidRPr="00293869" w:rsidRDefault="00C762EA" w:rsidP="00D1189B">
            <w:r w:rsidRPr="00293869">
              <w:t>The department RTP committee reviews applications for quality, indicates recommendation and forwards to the dean by: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14:paraId="04F535F9" w14:textId="77777777" w:rsidR="00B853C0" w:rsidRPr="00293869" w:rsidRDefault="00B853C0" w:rsidP="00582A1F">
            <w:pPr>
              <w:rPr>
                <w:i/>
              </w:rPr>
            </w:pPr>
          </w:p>
          <w:p w14:paraId="4E2435B9" w14:textId="77777777" w:rsidR="00C762EA" w:rsidRPr="00293869" w:rsidRDefault="002F6E3A" w:rsidP="00D1189B">
            <w:pPr>
              <w:jc w:val="center"/>
              <w:rPr>
                <w:i/>
              </w:rPr>
            </w:pPr>
            <w:r w:rsidRPr="00293869">
              <w:rPr>
                <w:i/>
              </w:rPr>
              <w:t>Nove</w:t>
            </w:r>
            <w:r w:rsidR="00C762EA" w:rsidRPr="00293869">
              <w:rPr>
                <w:i/>
              </w:rPr>
              <w:t>mber 1</w:t>
            </w:r>
            <w:r w:rsidR="000C674F" w:rsidRPr="00293869">
              <w:rPr>
                <w:i/>
                <w:vertAlign w:val="superscript"/>
              </w:rPr>
              <w:t>st</w:t>
            </w:r>
            <w:r w:rsidR="000C674F" w:rsidRPr="00293869">
              <w:rPr>
                <w:i/>
              </w:rPr>
              <w:t xml:space="preserve"> </w:t>
            </w:r>
          </w:p>
        </w:tc>
      </w:tr>
      <w:tr w:rsidR="00C762EA" w:rsidRPr="00293869" w14:paraId="77EA3C41" w14:textId="77777777" w:rsidTr="004E2EAD">
        <w:trPr>
          <w:trHeight w:val="620"/>
        </w:trPr>
        <w:tc>
          <w:tcPr>
            <w:tcW w:w="8442" w:type="dxa"/>
          </w:tcPr>
          <w:p w14:paraId="1EAE27B9" w14:textId="77777777" w:rsidR="00C762EA" w:rsidRPr="00293869" w:rsidRDefault="00C762EA" w:rsidP="00D1189B">
            <w:r w:rsidRPr="00293869">
              <w:t>After review of the department recommendation</w:t>
            </w:r>
            <w:r w:rsidR="00FA767C" w:rsidRPr="00293869">
              <w:t>s</w:t>
            </w:r>
            <w:r w:rsidRPr="00293869">
              <w:t>, the dean makes their recommendation and forwards the applications with all recommendations to Faculty Affairs by: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14:paraId="1A36B31C" w14:textId="77777777" w:rsidR="00C762EA" w:rsidRPr="00293869" w:rsidRDefault="00C762EA" w:rsidP="00582A1F">
            <w:pPr>
              <w:rPr>
                <w:i/>
              </w:rPr>
            </w:pPr>
          </w:p>
          <w:p w14:paraId="3F81F6EA" w14:textId="7F0497A2" w:rsidR="00D1189B" w:rsidRPr="00293869" w:rsidRDefault="00CE2517" w:rsidP="002F6E3A">
            <w:pPr>
              <w:jc w:val="center"/>
              <w:rPr>
                <w:i/>
              </w:rPr>
            </w:pPr>
            <w:r>
              <w:rPr>
                <w:i/>
              </w:rPr>
              <w:t>December 1</w:t>
            </w:r>
            <w:r w:rsidRPr="00CE2517">
              <w:rPr>
                <w:i/>
                <w:vertAlign w:val="superscript"/>
              </w:rPr>
              <w:t>st</w:t>
            </w:r>
          </w:p>
        </w:tc>
      </w:tr>
      <w:tr w:rsidR="00C762EA" w:rsidRPr="00293869" w14:paraId="7D01E3E9" w14:textId="77777777" w:rsidTr="004E2EAD">
        <w:trPr>
          <w:trHeight w:val="904"/>
        </w:trPr>
        <w:tc>
          <w:tcPr>
            <w:tcW w:w="8442" w:type="dxa"/>
          </w:tcPr>
          <w:p w14:paraId="7016943A" w14:textId="77777777" w:rsidR="00C762EA" w:rsidRPr="00293869" w:rsidRDefault="00C762EA" w:rsidP="00D1189B">
            <w:r w:rsidRPr="00293869">
              <w:t xml:space="preserve">The </w:t>
            </w:r>
            <w:proofErr w:type="gramStart"/>
            <w:r w:rsidRPr="00293869">
              <w:t>Pr</w:t>
            </w:r>
            <w:r w:rsidR="00B62403" w:rsidRPr="00293869">
              <w:t>ovos</w:t>
            </w:r>
            <w:r w:rsidRPr="00293869">
              <w:t>t</w:t>
            </w:r>
            <w:proofErr w:type="gramEnd"/>
            <w:r w:rsidRPr="00293869">
              <w:t xml:space="preserve"> makes a final determination based upon all recommendations. Letters will be sent to the candidates from the Pr</w:t>
            </w:r>
            <w:r w:rsidR="00B62403" w:rsidRPr="00293869">
              <w:t>ovost</w:t>
            </w:r>
            <w:r w:rsidRPr="00293869">
              <w:t xml:space="preserve"> informing them of the status of their request for DIP leave by: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14:paraId="2D4176C6" w14:textId="77777777" w:rsidR="00B853C0" w:rsidRPr="00293869" w:rsidRDefault="00B853C0" w:rsidP="002F6E3A">
            <w:pPr>
              <w:rPr>
                <w:i/>
              </w:rPr>
            </w:pPr>
          </w:p>
          <w:p w14:paraId="43764D97" w14:textId="77777777" w:rsidR="00582A1F" w:rsidRPr="00293869" w:rsidRDefault="00582A1F" w:rsidP="002F6E3A">
            <w:pPr>
              <w:rPr>
                <w:i/>
              </w:rPr>
            </w:pPr>
          </w:p>
          <w:p w14:paraId="2C8B7485" w14:textId="33D0CC77" w:rsidR="00B853C0" w:rsidRPr="00293869" w:rsidRDefault="00CE2517" w:rsidP="002F6E3A">
            <w:pPr>
              <w:jc w:val="center"/>
              <w:rPr>
                <w:i/>
              </w:rPr>
            </w:pPr>
            <w:r>
              <w:rPr>
                <w:i/>
              </w:rPr>
              <w:t xml:space="preserve">January </w:t>
            </w:r>
            <w:r w:rsidRPr="00293869">
              <w:rPr>
                <w:i/>
              </w:rPr>
              <w:t>15</w:t>
            </w:r>
            <w:r w:rsidRPr="00293869">
              <w:rPr>
                <w:i/>
                <w:vertAlign w:val="superscript"/>
              </w:rPr>
              <w:t>th</w:t>
            </w:r>
            <w:r w:rsidRPr="00293869">
              <w:rPr>
                <w:i/>
              </w:rPr>
              <w:t xml:space="preserve"> </w:t>
            </w:r>
            <w:r w:rsidR="000C674F" w:rsidRPr="00293869">
              <w:rPr>
                <w:i/>
              </w:rPr>
              <w:t xml:space="preserve"> </w:t>
            </w:r>
          </w:p>
        </w:tc>
      </w:tr>
    </w:tbl>
    <w:p w14:paraId="349C1CFE" w14:textId="77777777" w:rsidR="004E2EAD" w:rsidRDefault="004E2EAD" w:rsidP="004E2EAD">
      <w:pPr>
        <w:pStyle w:val="NoSpacing"/>
      </w:pPr>
    </w:p>
    <w:p w14:paraId="12B15027" w14:textId="75665A5B" w:rsidR="004E2EAD" w:rsidRDefault="00CE2517" w:rsidP="0024502E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If </w:t>
      </w:r>
      <w:r w:rsidRPr="002F6E3A">
        <w:rPr>
          <w:i/>
          <w:sz w:val="20"/>
          <w:szCs w:val="20"/>
        </w:rPr>
        <w:t>the date falls on a weekend, it will be due the following Monday.</w:t>
      </w:r>
    </w:p>
    <w:p w14:paraId="72A55E40" w14:textId="4D1DAD91" w:rsidR="00A34CBB" w:rsidRPr="00A34CBB" w:rsidRDefault="00A34CBB" w:rsidP="00A34CBB">
      <w:pPr>
        <w:rPr>
          <w:sz w:val="20"/>
          <w:szCs w:val="20"/>
        </w:rPr>
      </w:pPr>
    </w:p>
    <w:p w14:paraId="0698784F" w14:textId="77777777" w:rsidR="00A34CBB" w:rsidRPr="00A34CBB" w:rsidRDefault="00A34CBB" w:rsidP="00A34CBB">
      <w:pPr>
        <w:jc w:val="center"/>
        <w:rPr>
          <w:sz w:val="20"/>
          <w:szCs w:val="20"/>
        </w:rPr>
      </w:pPr>
    </w:p>
    <w:sectPr w:rsidR="00A34CBB" w:rsidRPr="00A34CBB" w:rsidSect="00AE2346">
      <w:footerReference w:type="default" r:id="rId12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DCE7E" w14:textId="77777777" w:rsidR="00EA6A9E" w:rsidRDefault="00EA6A9E" w:rsidP="001C7C6C">
      <w:pPr>
        <w:spacing w:after="0" w:line="240" w:lineRule="auto"/>
      </w:pPr>
      <w:r>
        <w:separator/>
      </w:r>
    </w:p>
  </w:endnote>
  <w:endnote w:type="continuationSeparator" w:id="0">
    <w:p w14:paraId="4D41C344" w14:textId="77777777" w:rsidR="00EA6A9E" w:rsidRDefault="00EA6A9E" w:rsidP="001C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7E73C" w14:textId="450D9339" w:rsidR="001C7C6C" w:rsidRDefault="004E2EAD" w:rsidP="004E2EAD">
    <w:pPr>
      <w:pStyle w:val="Footer"/>
      <w:ind w:right="180"/>
    </w:pPr>
    <w:r>
      <w:rPr>
        <w:i/>
        <w:sz w:val="20"/>
      </w:rPr>
      <w:t>Faculty Affairs &amp; Success</w:t>
    </w:r>
    <w:r>
      <w:rPr>
        <w:i/>
        <w:sz w:val="20"/>
      </w:rPr>
      <w:tab/>
    </w:r>
    <w:r w:rsidRPr="004E2EAD">
      <w:rPr>
        <w:i/>
        <w:sz w:val="20"/>
      </w:rPr>
      <w:ptab w:relativeTo="margin" w:alignment="center" w:leader="none"/>
    </w:r>
    <w:r w:rsidRPr="004E2EAD">
      <w:rPr>
        <w:i/>
        <w:sz w:val="20"/>
      </w:rPr>
      <w:ptab w:relativeTo="margin" w:alignment="right" w:leader="none"/>
    </w:r>
    <w:r>
      <w:rPr>
        <w:i/>
        <w:sz w:val="20"/>
      </w:rPr>
      <w:t>Updated 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DA8E9" w14:textId="77777777" w:rsidR="00EA6A9E" w:rsidRDefault="00EA6A9E" w:rsidP="001C7C6C">
      <w:pPr>
        <w:spacing w:after="0" w:line="240" w:lineRule="auto"/>
      </w:pPr>
      <w:r>
        <w:separator/>
      </w:r>
    </w:p>
  </w:footnote>
  <w:footnote w:type="continuationSeparator" w:id="0">
    <w:p w14:paraId="7B4DDB17" w14:textId="77777777" w:rsidR="00EA6A9E" w:rsidRDefault="00EA6A9E" w:rsidP="001C7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C4"/>
    <w:rsid w:val="000072BE"/>
    <w:rsid w:val="0002541C"/>
    <w:rsid w:val="000A79B6"/>
    <w:rsid w:val="000B73A3"/>
    <w:rsid w:val="000C674F"/>
    <w:rsid w:val="000F3215"/>
    <w:rsid w:val="00140732"/>
    <w:rsid w:val="00170E26"/>
    <w:rsid w:val="001C7C6C"/>
    <w:rsid w:val="0024502E"/>
    <w:rsid w:val="002933E6"/>
    <w:rsid w:val="00293869"/>
    <w:rsid w:val="002F6E3A"/>
    <w:rsid w:val="00330EB5"/>
    <w:rsid w:val="00360E1A"/>
    <w:rsid w:val="0045092F"/>
    <w:rsid w:val="00475D2F"/>
    <w:rsid w:val="004A5E94"/>
    <w:rsid w:val="004B2BA9"/>
    <w:rsid w:val="004C6E6B"/>
    <w:rsid w:val="004E2EAD"/>
    <w:rsid w:val="00582A1F"/>
    <w:rsid w:val="00583525"/>
    <w:rsid w:val="006376E0"/>
    <w:rsid w:val="006A18C4"/>
    <w:rsid w:val="007047B9"/>
    <w:rsid w:val="008C72C9"/>
    <w:rsid w:val="00922DB5"/>
    <w:rsid w:val="009C49B9"/>
    <w:rsid w:val="00A25B68"/>
    <w:rsid w:val="00A34CBB"/>
    <w:rsid w:val="00A67449"/>
    <w:rsid w:val="00AE2346"/>
    <w:rsid w:val="00B23C02"/>
    <w:rsid w:val="00B62403"/>
    <w:rsid w:val="00B853C0"/>
    <w:rsid w:val="00BC17D0"/>
    <w:rsid w:val="00BE1AD1"/>
    <w:rsid w:val="00C124C7"/>
    <w:rsid w:val="00C762EA"/>
    <w:rsid w:val="00CA3835"/>
    <w:rsid w:val="00CE2517"/>
    <w:rsid w:val="00D1189B"/>
    <w:rsid w:val="00D76E2E"/>
    <w:rsid w:val="00E52A20"/>
    <w:rsid w:val="00EA6A9E"/>
    <w:rsid w:val="00FA767C"/>
    <w:rsid w:val="00FA7F78"/>
    <w:rsid w:val="00FC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600B2"/>
  <w15:docId w15:val="{0BA545DE-D59E-4B3F-BDEB-62C26D9C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C7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C6C"/>
  </w:style>
  <w:style w:type="paragraph" w:styleId="Footer">
    <w:name w:val="footer"/>
    <w:basedOn w:val="Normal"/>
    <w:link w:val="FooterChar"/>
    <w:uiPriority w:val="99"/>
    <w:unhideWhenUsed/>
    <w:rsid w:val="001C7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C6C"/>
  </w:style>
  <w:style w:type="paragraph" w:styleId="BalloonText">
    <w:name w:val="Balloon Text"/>
    <w:basedOn w:val="Normal"/>
    <w:link w:val="BalloonTextChar"/>
    <w:uiPriority w:val="99"/>
    <w:semiHidden/>
    <w:unhideWhenUsed/>
    <w:rsid w:val="001C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C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6E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8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3C0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E2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oma.policystat.com/policy/16554446/lates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state.edu/csu-system/faculty-staff/labor-and-employee-relations/Pages/unit3-cfa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onoma.policystat.com/policy/16553894/lat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state.edu/csu-system/faculty-staff/labor-and-employee-relations/Pages/unit3-cfa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3EB60-AE5B-4E24-BB55-E0356D92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State University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 Valdez</dc:creator>
  <cp:lastModifiedBy>Scott Graves</cp:lastModifiedBy>
  <cp:revision>4</cp:revision>
  <cp:lastPrinted>2022-10-31T19:43:00Z</cp:lastPrinted>
  <dcterms:created xsi:type="dcterms:W3CDTF">2025-05-21T18:07:00Z</dcterms:created>
  <dcterms:modified xsi:type="dcterms:W3CDTF">2025-05-21T18:15:00Z</dcterms:modified>
</cp:coreProperties>
</file>